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324F2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Called </w:t>
      </w:r>
      <w:r w:rsidR="00AA4799">
        <w:rPr>
          <w:rFonts w:ascii="Garamond" w:hAnsi="Garamond"/>
          <w:bCs/>
        </w:rPr>
        <w:t>Board Meeting</w:t>
      </w:r>
    </w:p>
    <w:p w:rsidR="009E5A55" w:rsidRPr="00616A1A" w:rsidRDefault="00BA2651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 w:rsidR="003D6234">
        <w:rPr>
          <w:rFonts w:ascii="Garamond" w:hAnsi="Garamond"/>
        </w:rPr>
        <w:t xml:space="preserve"> </w:t>
      </w:r>
      <w:r>
        <w:rPr>
          <w:rFonts w:ascii="Garamond" w:hAnsi="Garamond"/>
        </w:rPr>
        <w:t>April</w:t>
      </w:r>
      <w:r w:rsidR="004C4C65">
        <w:rPr>
          <w:rFonts w:ascii="Garamond" w:hAnsi="Garamond"/>
        </w:rPr>
        <w:t xml:space="preserve"> </w:t>
      </w:r>
      <w:r>
        <w:rPr>
          <w:rFonts w:ascii="Garamond" w:hAnsi="Garamond"/>
        </w:rPr>
        <w:t>28</w:t>
      </w:r>
      <w:r w:rsidR="009E5A55" w:rsidRPr="00616A1A">
        <w:rPr>
          <w:rFonts w:ascii="Garamond" w:hAnsi="Garamond"/>
        </w:rPr>
        <w:t>, 201</w:t>
      </w:r>
      <w:r w:rsidR="007907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 xml:space="preserve">, </w:t>
      </w:r>
      <w:r w:rsidR="003D6234">
        <w:rPr>
          <w:rFonts w:ascii="Garamond" w:hAnsi="Garamond"/>
        </w:rPr>
        <w:t>10</w:t>
      </w:r>
      <w:r w:rsidR="00673684">
        <w:rPr>
          <w:rFonts w:ascii="Garamond" w:hAnsi="Garamond"/>
        </w:rPr>
        <w:t>:</w:t>
      </w:r>
      <w:r w:rsidR="00D726CF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 w:rsidR="003D6234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D726CF">
        <w:rPr>
          <w:rFonts w:ascii="Garamond" w:hAnsi="Garamond"/>
          <w:bCs/>
        </w:rPr>
        <w:t xml:space="preserve">Called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</w:t>
      </w:r>
      <w:r w:rsidR="00D726CF">
        <w:rPr>
          <w:rFonts w:ascii="Garamond" w:hAnsi="Garamond"/>
          <w:bCs/>
        </w:rPr>
        <w:t>00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BA2651">
        <w:rPr>
          <w:rFonts w:ascii="Garamond" w:hAnsi="Garamond"/>
          <w:bCs/>
        </w:rPr>
        <w:t>Thursday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BA2651">
        <w:rPr>
          <w:rFonts w:ascii="Garamond" w:hAnsi="Garamond"/>
          <w:bCs/>
        </w:rPr>
        <w:t>April</w:t>
      </w:r>
      <w:r w:rsidR="004C4C65">
        <w:rPr>
          <w:rFonts w:ascii="Garamond" w:hAnsi="Garamond"/>
          <w:bCs/>
        </w:rPr>
        <w:t xml:space="preserve"> </w:t>
      </w:r>
      <w:r w:rsidR="00BA2651">
        <w:rPr>
          <w:rFonts w:ascii="Garamond" w:hAnsi="Garamond"/>
          <w:bCs/>
        </w:rPr>
        <w:t>28</w:t>
      </w:r>
      <w:r w:rsidR="004068EE" w:rsidRPr="009E5A55">
        <w:rPr>
          <w:rFonts w:ascii="Garamond" w:hAnsi="Garamond"/>
          <w:bCs/>
        </w:rPr>
        <w:t>, 201</w:t>
      </w:r>
      <w:r w:rsidR="007907F4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D6234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3D6234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Ky Ash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C833BD">
        <w:rPr>
          <w:rFonts w:ascii="Garamond" w:hAnsi="Garamond"/>
          <w:bCs/>
        </w:rPr>
        <w:t>00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BA2651" w:rsidRDefault="00BA2651" w:rsidP="00BA2651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Public Finance Authority State of Texas General Obligation Refunding Bonds, Series 2016</w:t>
      </w:r>
    </w:p>
    <w:p w:rsidR="00A6641E" w:rsidRDefault="00A6641E" w:rsidP="00A6641E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BA2651" w:rsidRDefault="00BA2651" w:rsidP="00BA2651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Lee Deviney, Executive Director, TPFA; John Hernandez, Deputy Director, TPFA; John Barton, Senior Financial Analyst, TPFA; and Jorge Rodriguez, Financial Advisor, Coastal Securities. </w:t>
      </w:r>
    </w:p>
    <w:p w:rsidR="00CD3C18" w:rsidRDefault="00CD3C18" w:rsidP="00D726CF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4C10B2" w:rsidRPr="004C10B2" w:rsidRDefault="004C10B2" w:rsidP="004C10B2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KY ASH </w:t>
      </w:r>
      <w:r w:rsidRPr="000F1A0B">
        <w:rPr>
          <w:rFonts w:ascii="Garamond" w:hAnsi="Garamond" w:cs="Arial"/>
          <w:bCs/>
          <w:caps/>
        </w:rPr>
        <w:t xml:space="preserve">AND SECOND BY </w:t>
      </w:r>
      <w:r>
        <w:rPr>
          <w:rFonts w:ascii="Garamond" w:hAnsi="Garamond" w:cs="Arial"/>
          <w:bCs/>
          <w:caps/>
        </w:rPr>
        <w:t>Piper montemayor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Pr="004C10B2">
        <w:rPr>
          <w:rFonts w:ascii="Garamond" w:hAnsi="Garamond" w:cs="Arial"/>
          <w:bCs/>
          <w:caps/>
        </w:rPr>
        <w:t>Texas Public Finance Authority State of Texas General Obligation Refunding Bonds, Series 2016 (in one or more series or subseries) with an aggregate par of $189,000,000 and maximum proceeds including premiums, if any, not to exceed $219,798,790 as outlined in the application dated April 12, 2016 and supplements through April 27, 2016.</w:t>
      </w:r>
    </w:p>
    <w:p w:rsidR="004C10B2" w:rsidRDefault="004C10B2" w:rsidP="004C10B2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highlight w:val="yellow"/>
        </w:rPr>
      </w:pPr>
    </w:p>
    <w:p w:rsidR="00A6641E" w:rsidRPr="00C2604D" w:rsidRDefault="00A6641E" w:rsidP="00A6641E">
      <w:pPr>
        <w:pStyle w:val="ListParagraph"/>
        <w:rPr>
          <w:rFonts w:ascii="Garamond" w:hAnsi="Garamond"/>
          <w:highlight w:val="yellow"/>
        </w:rPr>
      </w:pPr>
    </w:p>
    <w:p w:rsidR="00BA2651" w:rsidRDefault="00BA2651" w:rsidP="00BA2651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Date for Next Board Meeting</w:t>
      </w:r>
    </w:p>
    <w:p w:rsidR="00BA2651" w:rsidRDefault="00BA2651" w:rsidP="00BA2651">
      <w:pPr>
        <w:jc w:val="both"/>
        <w:rPr>
          <w:rFonts w:ascii="Garamond" w:hAnsi="Garamond"/>
          <w:b/>
        </w:rPr>
      </w:pPr>
    </w:p>
    <w:p w:rsidR="00BA2651" w:rsidRDefault="00BA2651" w:rsidP="00BA2651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next scheduled planning session will be held Tuesday, May 10, 2016 and the next scheduled Board Meeting will be held on Thursday, May 19, 2016. </w:t>
      </w:r>
    </w:p>
    <w:p w:rsidR="004C10B2" w:rsidRDefault="004C10B2" w:rsidP="00BA2651">
      <w:pPr>
        <w:pStyle w:val="ListParagraph"/>
        <w:jc w:val="both"/>
        <w:rPr>
          <w:rFonts w:ascii="Garamond" w:hAnsi="Garamond"/>
        </w:rPr>
      </w:pPr>
    </w:p>
    <w:p w:rsidR="004C10B2" w:rsidRPr="005B03B9" w:rsidRDefault="004C10B2" w:rsidP="00BA2651">
      <w:pPr>
        <w:pStyle w:val="ListParagraph"/>
        <w:jc w:val="both"/>
        <w:rPr>
          <w:rFonts w:ascii="Garamond" w:hAnsi="Garamond"/>
          <w:b/>
        </w:rPr>
      </w:pPr>
    </w:p>
    <w:p w:rsidR="00BA2651" w:rsidRDefault="00BA2651" w:rsidP="00BA2651">
      <w:pPr>
        <w:jc w:val="both"/>
        <w:rPr>
          <w:rFonts w:ascii="Garamond" w:hAnsi="Garamond"/>
          <w:b/>
        </w:rPr>
      </w:pPr>
    </w:p>
    <w:p w:rsidR="00BA2651" w:rsidRDefault="00BA2651" w:rsidP="00BA265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ab/>
      </w:r>
    </w:p>
    <w:p w:rsidR="00BA2651" w:rsidRDefault="00BA2651" w:rsidP="00BA2651">
      <w:pPr>
        <w:jc w:val="both"/>
        <w:rPr>
          <w:rFonts w:ascii="Garamond" w:hAnsi="Garamond"/>
          <w:b/>
        </w:rPr>
      </w:pPr>
    </w:p>
    <w:p w:rsidR="00BA2651" w:rsidRPr="0057687F" w:rsidRDefault="00BA2651" w:rsidP="00BA2651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Report from the Executive Director</w:t>
      </w:r>
    </w:p>
    <w:p w:rsidR="00BA2651" w:rsidRPr="00E7782A" w:rsidRDefault="00BA2651" w:rsidP="00BA26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 w:rsidRPr="00E7782A">
        <w:rPr>
          <w:rFonts w:ascii="Garamond" w:hAnsi="Garamond"/>
        </w:rPr>
        <w:t>Database upgrade project is continuing along on schedule. Staff is working on</w:t>
      </w:r>
      <w:r>
        <w:rPr>
          <w:rFonts w:ascii="Garamond" w:hAnsi="Garamond"/>
        </w:rPr>
        <w:t xml:space="preserve"> the state database conversion.</w:t>
      </w:r>
    </w:p>
    <w:p w:rsidR="00BA2651" w:rsidRDefault="00BA2651" w:rsidP="00BA2651">
      <w:pPr>
        <w:pStyle w:val="ListParagraph"/>
        <w:jc w:val="both"/>
        <w:rPr>
          <w:rFonts w:ascii="Garamond" w:hAnsi="Garamond"/>
          <w:b/>
        </w:rPr>
      </w:pPr>
    </w:p>
    <w:p w:rsidR="00BA2651" w:rsidRPr="0057687F" w:rsidRDefault="00BA2651" w:rsidP="00BA2651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Adjourn</w:t>
      </w:r>
    </w:p>
    <w:p w:rsidR="00BA2651" w:rsidRDefault="00BA2651" w:rsidP="00BA2651">
      <w:pPr>
        <w:pStyle w:val="ListParagraph"/>
        <w:rPr>
          <w:rFonts w:ascii="Garamond" w:hAnsi="Garamond"/>
          <w:highlight w:val="yellow"/>
        </w:rPr>
      </w:pPr>
    </w:p>
    <w:p w:rsidR="00BA2651" w:rsidRPr="009375F5" w:rsidRDefault="00BA2651" w:rsidP="00BA2651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>
        <w:rPr>
          <w:rFonts w:ascii="Garamond" w:hAnsi="Garamond"/>
        </w:rPr>
        <w:t>rd M</w:t>
      </w:r>
      <w:r w:rsidRPr="009375F5">
        <w:rPr>
          <w:rFonts w:ascii="Garamond" w:hAnsi="Garamond"/>
        </w:rPr>
        <w:t>eeting</w:t>
      </w:r>
      <w:r w:rsidRPr="009375F5">
        <w:rPr>
          <w:rFonts w:ascii="Garamond" w:hAnsi="Garamond"/>
          <w:b/>
        </w:rPr>
        <w:t xml:space="preserve"> </w:t>
      </w:r>
      <w:r w:rsidRPr="009375F5">
        <w:rPr>
          <w:rFonts w:ascii="Garamond" w:hAnsi="Garamond"/>
        </w:rPr>
        <w:t>was adjourned at 10:</w:t>
      </w:r>
      <w:r w:rsidR="00920962">
        <w:rPr>
          <w:rFonts w:ascii="Garamond" w:hAnsi="Garamond"/>
        </w:rPr>
        <w:t>04</w:t>
      </w:r>
      <w:r w:rsidRPr="009375F5">
        <w:rPr>
          <w:rFonts w:ascii="Garamond" w:hAnsi="Garamond"/>
        </w:rPr>
        <w:t xml:space="preserve"> a.m.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62" w:rsidRDefault="00920962">
      <w:r>
        <w:separator/>
      </w:r>
    </w:p>
  </w:endnote>
  <w:endnote w:type="continuationSeparator" w:id="0">
    <w:p w:rsidR="00920962" w:rsidRDefault="00920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62" w:rsidRDefault="00920962">
      <w:r>
        <w:separator/>
      </w:r>
    </w:p>
  </w:footnote>
  <w:footnote w:type="continuationSeparator" w:id="0">
    <w:p w:rsidR="00920962" w:rsidRDefault="00920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962" w:rsidRDefault="00920962">
    <w:pPr>
      <w:pStyle w:val="Header"/>
    </w:pPr>
  </w:p>
  <w:p w:rsidR="00920962" w:rsidRDefault="009209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A58EF"/>
    <w:multiLevelType w:val="hybridMultilevel"/>
    <w:tmpl w:val="2C7E6222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50837"/>
    <w:multiLevelType w:val="hybridMultilevel"/>
    <w:tmpl w:val="C2EA27DA"/>
    <w:lvl w:ilvl="0" w:tplc="4552E37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148EE"/>
    <w:multiLevelType w:val="hybridMultilevel"/>
    <w:tmpl w:val="914EEF82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B741E"/>
    <w:multiLevelType w:val="hybridMultilevel"/>
    <w:tmpl w:val="FC0AC642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06B6B"/>
    <w:multiLevelType w:val="hybridMultilevel"/>
    <w:tmpl w:val="6E3A11A8"/>
    <w:lvl w:ilvl="0" w:tplc="27F8CAF6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15634"/>
    <w:multiLevelType w:val="hybridMultilevel"/>
    <w:tmpl w:val="6610CDEA"/>
    <w:lvl w:ilvl="0" w:tplc="C16E320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7"/>
  </w:num>
  <w:num w:numId="5">
    <w:abstractNumId w:val="6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6"/>
  </w:num>
  <w:num w:numId="13">
    <w:abstractNumId w:val="9"/>
  </w:num>
  <w:num w:numId="14">
    <w:abstractNumId w:val="20"/>
  </w:num>
  <w:num w:numId="15">
    <w:abstractNumId w:val="25"/>
  </w:num>
  <w:num w:numId="16">
    <w:abstractNumId w:val="8"/>
  </w:num>
  <w:num w:numId="17">
    <w:abstractNumId w:val="12"/>
  </w:num>
  <w:num w:numId="18">
    <w:abstractNumId w:val="24"/>
  </w:num>
  <w:num w:numId="19">
    <w:abstractNumId w:val="21"/>
  </w:num>
  <w:num w:numId="20">
    <w:abstractNumId w:val="16"/>
  </w:num>
  <w:num w:numId="21">
    <w:abstractNumId w:val="2"/>
  </w:num>
  <w:num w:numId="22">
    <w:abstractNumId w:val="18"/>
  </w:num>
  <w:num w:numId="23">
    <w:abstractNumId w:val="23"/>
  </w:num>
  <w:num w:numId="24">
    <w:abstractNumId w:val="17"/>
  </w:num>
  <w:num w:numId="25">
    <w:abstractNumId w:val="5"/>
  </w:num>
  <w:num w:numId="26">
    <w:abstractNumId w:val="3"/>
  </w:num>
  <w:num w:numId="27">
    <w:abstractNumId w:val="0"/>
  </w:num>
  <w:num w:numId="28">
    <w:abstractNumId w:val="4"/>
  </w:num>
  <w:num w:numId="29">
    <w:abstractNumId w:val="19"/>
  </w:num>
  <w:num w:numId="30">
    <w:abstractNumId w:val="10"/>
  </w:num>
  <w:num w:numId="31">
    <w:abstractNumId w:val="13"/>
  </w:num>
  <w:num w:numId="32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4F25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11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10B2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57F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55DD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C76F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0962"/>
    <w:rsid w:val="00922573"/>
    <w:rsid w:val="0092615D"/>
    <w:rsid w:val="00927939"/>
    <w:rsid w:val="00930493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223C"/>
    <w:rsid w:val="00A5293B"/>
    <w:rsid w:val="00A53679"/>
    <w:rsid w:val="00A56C6C"/>
    <w:rsid w:val="00A65E9D"/>
    <w:rsid w:val="00A6641E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912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5931"/>
    <w:rsid w:val="00B96519"/>
    <w:rsid w:val="00BA0B41"/>
    <w:rsid w:val="00BA17D2"/>
    <w:rsid w:val="00BA2651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BF5FF9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33BD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3C18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26CF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5C8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28A7-EBD1-4F10-88E1-B523CCFE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307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8</cp:revision>
  <cp:lastPrinted>2015-07-09T18:01:00Z</cp:lastPrinted>
  <dcterms:created xsi:type="dcterms:W3CDTF">2016-03-23T18:58:00Z</dcterms:created>
  <dcterms:modified xsi:type="dcterms:W3CDTF">2016-04-28T17:16:00Z</dcterms:modified>
</cp:coreProperties>
</file>