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EFA" w:rsidRPr="00DA6F26" w:rsidRDefault="00AC5EFA" w:rsidP="00AC5EFA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DA6F26">
        <w:rPr>
          <w:rFonts w:ascii="Garamond" w:hAnsi="Garamond"/>
          <w:bCs/>
        </w:rPr>
        <w:t>Minutes</w:t>
      </w:r>
    </w:p>
    <w:p w:rsidR="00B70366" w:rsidRPr="00DA6F26" w:rsidRDefault="00B70366" w:rsidP="00052879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DA6F26">
        <w:rPr>
          <w:rFonts w:ascii="Garamond" w:hAnsi="Garamond"/>
          <w:bCs/>
        </w:rPr>
        <w:t>Texas Bond Review Board</w:t>
      </w:r>
    </w:p>
    <w:p w:rsidR="00B70366" w:rsidRPr="00DA6F26" w:rsidRDefault="00753673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 w:rsidRPr="00DA6F26">
        <w:rPr>
          <w:rFonts w:ascii="Garamond" w:hAnsi="Garamond"/>
          <w:bCs/>
        </w:rPr>
        <w:t>Planning Session</w:t>
      </w:r>
    </w:p>
    <w:p w:rsidR="002D5A72" w:rsidRPr="00DA6F26" w:rsidRDefault="002D5A72" w:rsidP="002D5A72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DA6F26">
        <w:rPr>
          <w:rFonts w:ascii="Garamond" w:hAnsi="Garamond"/>
        </w:rPr>
        <w:t xml:space="preserve">Thursday </w:t>
      </w:r>
      <w:r w:rsidR="009427E6" w:rsidRPr="00DA6F26">
        <w:rPr>
          <w:rFonts w:ascii="Garamond" w:hAnsi="Garamond"/>
        </w:rPr>
        <w:t>July 19</w:t>
      </w:r>
      <w:r w:rsidRPr="00DA6F26">
        <w:rPr>
          <w:rFonts w:ascii="Garamond" w:hAnsi="Garamond"/>
        </w:rPr>
        <w:t xml:space="preserve">, 2012, 10:15 a.m. </w:t>
      </w:r>
    </w:p>
    <w:p w:rsidR="00745CC7" w:rsidRPr="00DA6F26" w:rsidRDefault="00745CC7" w:rsidP="00745CC7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DA6F26">
        <w:rPr>
          <w:rFonts w:ascii="Garamond" w:hAnsi="Garamond"/>
        </w:rPr>
        <w:t>Capitol Extension, Room E2.026</w:t>
      </w:r>
    </w:p>
    <w:p w:rsidR="00745CC7" w:rsidRPr="00DA6F26" w:rsidRDefault="00745CC7" w:rsidP="00745CC7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DA6F26">
        <w:rPr>
          <w:rFonts w:ascii="Garamond" w:hAnsi="Garamond"/>
        </w:rPr>
        <w:t>1400 N. Congress Ave.</w:t>
      </w:r>
    </w:p>
    <w:p w:rsidR="00745CC7" w:rsidRPr="00DA6F26" w:rsidRDefault="00745CC7" w:rsidP="00745CC7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DA6F26">
        <w:rPr>
          <w:rFonts w:ascii="Garamond" w:hAnsi="Garamond"/>
        </w:rPr>
        <w:t>Austin, TX 78701</w:t>
      </w:r>
    </w:p>
    <w:p w:rsidR="005D468A" w:rsidRPr="00DA6F26" w:rsidRDefault="005D468A" w:rsidP="005D468A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/>
        </w:rPr>
      </w:pPr>
    </w:p>
    <w:p w:rsidR="00AC5EFA" w:rsidRPr="00AC5EFA" w:rsidRDefault="00AC5EFA" w:rsidP="00CF0F91">
      <w:pPr>
        <w:widowControl w:val="0"/>
        <w:tabs>
          <w:tab w:val="left" w:pos="117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DA6F26">
        <w:rPr>
          <w:rFonts w:ascii="Garamond" w:hAnsi="Garamond"/>
          <w:bCs/>
        </w:rPr>
        <w:t>The Texas Bond Review Board (BRB) convened in a planning session at 10:15 a.m., Thur</w:t>
      </w:r>
      <w:r w:rsidR="009427E6" w:rsidRPr="00DA6F26">
        <w:rPr>
          <w:rFonts w:ascii="Garamond" w:hAnsi="Garamond"/>
          <w:bCs/>
        </w:rPr>
        <w:t>sday July</w:t>
      </w:r>
      <w:r w:rsidRPr="00DA6F26">
        <w:rPr>
          <w:rFonts w:ascii="Garamond" w:hAnsi="Garamond"/>
          <w:bCs/>
        </w:rPr>
        <w:t xml:space="preserve"> </w:t>
      </w:r>
      <w:r w:rsidR="009427E6" w:rsidRPr="00DA6F26">
        <w:rPr>
          <w:rFonts w:ascii="Garamond" w:hAnsi="Garamond"/>
          <w:bCs/>
        </w:rPr>
        <w:t>19</w:t>
      </w:r>
      <w:r w:rsidRPr="00DA6F26">
        <w:rPr>
          <w:rFonts w:ascii="Garamond" w:hAnsi="Garamond"/>
          <w:bCs/>
        </w:rPr>
        <w:t>, 2012 in the Capitol Extension, Room E2.026 in Austin, Texas. Present were Ed Robertson, Chair and Alternate for Govern</w:t>
      </w:r>
      <w:r w:rsidR="009427E6" w:rsidRPr="00DA6F26">
        <w:rPr>
          <w:rFonts w:ascii="Garamond" w:hAnsi="Garamond"/>
          <w:bCs/>
        </w:rPr>
        <w:t>or Rick Perry; Serena Kuvet</w:t>
      </w:r>
      <w:r w:rsidRPr="00DA6F26">
        <w:rPr>
          <w:rFonts w:ascii="Garamond" w:hAnsi="Garamond"/>
          <w:bCs/>
        </w:rPr>
        <w:t>, Alternate for Comptroller Susan Combs; David Duran, Alternate for Lieutenant Governor David Dewhurst; and Andrew Blifford, Alternate for Speaker Joe Straus. Also in attendance were Stephanie Leibe with the Office of the Attorney General, Bond Finance Office staff members and others.</w:t>
      </w:r>
    </w:p>
    <w:p w:rsidR="001F4911" w:rsidRPr="00EF5FE3" w:rsidRDefault="001F4911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rPr>
          <w:rFonts w:ascii="Garamond" w:hAnsi="Garamond"/>
        </w:rPr>
      </w:pPr>
    </w:p>
    <w:p w:rsidR="00215157" w:rsidRPr="00263A0B" w:rsidRDefault="005F2938" w:rsidP="00474388">
      <w:pPr>
        <w:widowControl w:val="0"/>
        <w:numPr>
          <w:ilvl w:val="0"/>
          <w:numId w:val="21"/>
        </w:numPr>
        <w:tabs>
          <w:tab w:val="num" w:pos="630"/>
        </w:tabs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5659C4">
        <w:rPr>
          <w:rFonts w:ascii="Garamond" w:hAnsi="Garamond"/>
          <w:b/>
          <w:bCs/>
        </w:rPr>
        <w:t>Call to Order</w:t>
      </w:r>
    </w:p>
    <w:p w:rsidR="00EF5FE3" w:rsidRPr="00EF5FE3" w:rsidRDefault="00EF5FE3" w:rsidP="00474388">
      <w:pPr>
        <w:widowControl w:val="0"/>
        <w:tabs>
          <w:tab w:val="num" w:pos="630"/>
        </w:tabs>
        <w:autoSpaceDE w:val="0"/>
        <w:autoSpaceDN w:val="0"/>
        <w:adjustRightInd w:val="0"/>
        <w:ind w:left="180"/>
        <w:jc w:val="both"/>
        <w:rPr>
          <w:rFonts w:ascii="Garamond" w:hAnsi="Garamond"/>
          <w:bCs/>
        </w:rPr>
      </w:pPr>
    </w:p>
    <w:p w:rsidR="00AC5EFA" w:rsidRPr="00AC5EFA" w:rsidRDefault="00AC5EFA" w:rsidP="00AC5EFA">
      <w:pPr>
        <w:tabs>
          <w:tab w:val="num" w:pos="630"/>
        </w:tabs>
        <w:ind w:left="180"/>
        <w:jc w:val="both"/>
        <w:rPr>
          <w:rFonts w:ascii="Garamond" w:hAnsi="Garamond"/>
        </w:rPr>
      </w:pPr>
      <w:r w:rsidRPr="00AC5EFA">
        <w:rPr>
          <w:rFonts w:ascii="Garamond" w:hAnsi="Garamond"/>
        </w:rPr>
        <w:t>Bob Kline, Executive Director of the BRB, called the meeting to order at 10:</w:t>
      </w:r>
      <w:r w:rsidR="00DA6F26">
        <w:rPr>
          <w:rFonts w:ascii="Garamond" w:hAnsi="Garamond"/>
        </w:rPr>
        <w:t>15</w:t>
      </w:r>
      <w:r w:rsidRPr="00AC5EFA">
        <w:rPr>
          <w:rFonts w:ascii="Garamond" w:hAnsi="Garamond"/>
        </w:rPr>
        <w:t xml:space="preserve"> a.m. He announced that this was a planning meeting of Board staff to receive and discuss information relative to the applications before the Board. No votes would be taken. </w:t>
      </w:r>
      <w:r w:rsidR="001C621B">
        <w:rPr>
          <w:rFonts w:ascii="Garamond" w:hAnsi="Garamond"/>
        </w:rPr>
        <w:t>A</w:t>
      </w:r>
      <w:r w:rsidRPr="00AC5EFA">
        <w:rPr>
          <w:rFonts w:ascii="Garamond" w:hAnsi="Garamond"/>
        </w:rPr>
        <w:t xml:space="preserve"> quorum</w:t>
      </w:r>
      <w:r w:rsidR="001C621B">
        <w:rPr>
          <w:rFonts w:ascii="Garamond" w:hAnsi="Garamond"/>
        </w:rPr>
        <w:t xml:space="preserve"> was present</w:t>
      </w:r>
      <w:r w:rsidRPr="00AC5EFA">
        <w:rPr>
          <w:rFonts w:ascii="Garamond" w:hAnsi="Garamond"/>
        </w:rPr>
        <w:t>.</w:t>
      </w:r>
    </w:p>
    <w:p w:rsidR="00EF5FE3" w:rsidRDefault="00EF5FE3" w:rsidP="00474388">
      <w:pPr>
        <w:tabs>
          <w:tab w:val="num" w:pos="630"/>
        </w:tabs>
        <w:ind w:left="180"/>
        <w:rPr>
          <w:rFonts w:ascii="Garamond" w:hAnsi="Garamond"/>
          <w:highlight w:val="yellow"/>
        </w:rPr>
      </w:pPr>
    </w:p>
    <w:p w:rsidR="00BD541C" w:rsidRPr="00BD541C" w:rsidRDefault="00BD541C" w:rsidP="00BD541C">
      <w:pPr>
        <w:pStyle w:val="ListParagraph"/>
        <w:numPr>
          <w:ilvl w:val="0"/>
          <w:numId w:val="21"/>
        </w:numPr>
        <w:jc w:val="both"/>
        <w:rPr>
          <w:rFonts w:ascii="Garamond" w:hAnsi="Garamond" w:cs="Tahoma"/>
          <w:b/>
        </w:rPr>
      </w:pPr>
      <w:r w:rsidRPr="00BD541C">
        <w:rPr>
          <w:rFonts w:ascii="Garamond" w:hAnsi="Garamond" w:cs="Arial"/>
          <w:b/>
          <w:bCs/>
        </w:rPr>
        <w:t xml:space="preserve">EXEMPT – </w:t>
      </w:r>
      <w:r w:rsidRPr="00BD541C">
        <w:rPr>
          <w:rFonts w:ascii="Garamond" w:hAnsi="Garamond" w:cs="Tahoma"/>
          <w:b/>
        </w:rPr>
        <w:t xml:space="preserve">Texas Public Finance Authority Class 1 Revenue Notes (Texas Windstorm Insurance Association Program) Taxable Series 2012 </w:t>
      </w:r>
    </w:p>
    <w:p w:rsidR="00745CC7" w:rsidRDefault="00745CC7" w:rsidP="00745CC7">
      <w:pPr>
        <w:pStyle w:val="ListParagraph"/>
        <w:ind w:left="180"/>
        <w:jc w:val="both"/>
        <w:rPr>
          <w:rFonts w:ascii="Garamond" w:hAnsi="Garamond" w:cs="Tahoma"/>
          <w:b/>
        </w:rPr>
      </w:pPr>
    </w:p>
    <w:p w:rsidR="003A3D0C" w:rsidRPr="003A3D0C" w:rsidRDefault="003A3D0C" w:rsidP="00DC7167">
      <w:pPr>
        <w:pStyle w:val="ListParagraph"/>
        <w:tabs>
          <w:tab w:val="num" w:pos="180"/>
        </w:tabs>
        <w:ind w:left="180"/>
        <w:jc w:val="both"/>
        <w:rPr>
          <w:rFonts w:ascii="Garamond" w:hAnsi="Garamond" w:cs="Arial"/>
          <w:bCs/>
        </w:rPr>
      </w:pPr>
      <w:r w:rsidRPr="003A3D0C">
        <w:rPr>
          <w:rFonts w:ascii="Garamond" w:hAnsi="Garamond" w:cs="Arial"/>
          <w:bCs/>
        </w:rPr>
        <w:t>Representatives present were:</w:t>
      </w:r>
      <w:r>
        <w:rPr>
          <w:rFonts w:ascii="Garamond" w:hAnsi="Garamond" w:cs="Arial"/>
          <w:bCs/>
        </w:rPr>
        <w:t xml:space="preserve"> Robert Coalter, Executive Director, TPFA; Susan Durso, General Counsel, TPFA; Richard Donoghue, Partner, McCall Parkhurst &amp; Horton LLP, Paul Martin, Partner, Winstead; Dalton Smith, Director, Public Finance, Bank of America Merrill Lynch; Chris Allen, Senior Vice President, First Southwest; Michael Bartolotta, Vice Chairman, First Southwest; Jonathan Frels, Partner, Bracewell &amp; Giuliani LLP; Barron Wallace, Partner, Bracewell &amp; Giuliani LLP; Pete Gise, Controller, TWIA; Jim Murphy, Vice President – Actuary, TWIA; Mike Perkins, Partner, Sneed, Vine &amp; Perry PC; Chris Harrigan, Attorney, TDI.</w:t>
      </w:r>
    </w:p>
    <w:p w:rsidR="003A3D0C" w:rsidRDefault="003A3D0C" w:rsidP="00DC7167">
      <w:pPr>
        <w:pStyle w:val="ListParagraph"/>
        <w:tabs>
          <w:tab w:val="num" w:pos="180"/>
        </w:tabs>
        <w:ind w:hanging="720"/>
        <w:jc w:val="both"/>
        <w:rPr>
          <w:rFonts w:ascii="Garamond" w:hAnsi="Garamond" w:cs="Arial"/>
          <w:b/>
          <w:bCs/>
        </w:rPr>
      </w:pPr>
    </w:p>
    <w:p w:rsidR="003A3D0C" w:rsidRDefault="00DC7167" w:rsidP="00DC7167">
      <w:pPr>
        <w:pStyle w:val="ListParagraph"/>
        <w:tabs>
          <w:tab w:val="num" w:pos="180"/>
        </w:tabs>
        <w:ind w:left="180" w:hanging="72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3A3D0C" w:rsidRPr="00261055">
        <w:rPr>
          <w:rFonts w:ascii="Garamond" w:hAnsi="Garamond"/>
        </w:rPr>
        <w:t xml:space="preserve">Texas Public Finance Authority (TPFA) seeks approval for </w:t>
      </w:r>
      <w:r w:rsidR="003A3D0C">
        <w:rPr>
          <w:rFonts w:ascii="Garamond" w:hAnsi="Garamond"/>
        </w:rPr>
        <w:t xml:space="preserve">the issuances of </w:t>
      </w:r>
      <w:r w:rsidR="003A3D0C" w:rsidRPr="00261055">
        <w:rPr>
          <w:rFonts w:ascii="Garamond" w:hAnsi="Garamond"/>
        </w:rPr>
        <w:t>Class 1 Revenue Notes (TWIA Program) Taxable Series 2012 (the Notes) and Class 1 Revenue Refunding Bonds (TWIA Program) Taxable Series 2012 (the Bonds) in an aggregate maximum par and total proceeds amount of $500,000,000</w:t>
      </w:r>
      <w:r w:rsidR="003A3D0C">
        <w:rPr>
          <w:rFonts w:ascii="Garamond" w:hAnsi="Garamond"/>
        </w:rPr>
        <w:t xml:space="preserve"> and $600,000,000, respectively</w:t>
      </w:r>
      <w:r w:rsidR="003A3D0C" w:rsidRPr="00261055">
        <w:rPr>
          <w:rFonts w:ascii="Garamond" w:hAnsi="Garamond"/>
        </w:rPr>
        <w:t>.</w:t>
      </w:r>
    </w:p>
    <w:p w:rsidR="003A3D0C" w:rsidRDefault="003A3D0C" w:rsidP="00DC7167">
      <w:pPr>
        <w:pStyle w:val="ListParagraph"/>
        <w:tabs>
          <w:tab w:val="num" w:pos="180"/>
        </w:tabs>
        <w:ind w:left="180" w:hanging="720"/>
        <w:jc w:val="both"/>
        <w:rPr>
          <w:rFonts w:ascii="Garamond" w:hAnsi="Garamond"/>
        </w:rPr>
      </w:pPr>
    </w:p>
    <w:p w:rsidR="003A3D0C" w:rsidRDefault="00DC7167" w:rsidP="00DC7167">
      <w:pPr>
        <w:pStyle w:val="ListParagraph"/>
        <w:tabs>
          <w:tab w:val="num" w:pos="180"/>
        </w:tabs>
        <w:ind w:left="18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The proceeds of the Notes </w:t>
      </w:r>
      <w:r w:rsidRPr="00261055">
        <w:rPr>
          <w:rFonts w:ascii="Garamond" w:hAnsi="Garamond"/>
        </w:rPr>
        <w:t xml:space="preserve">will be used to pay insurance claims for losses that exceed reserve amounts in the </w:t>
      </w:r>
      <w:r w:rsidRPr="00DD0CAD">
        <w:rPr>
          <w:rFonts w:ascii="Garamond" w:hAnsi="Garamond"/>
        </w:rPr>
        <w:t xml:space="preserve">Catastrophe Reserve Trust Fund </w:t>
      </w:r>
      <w:r>
        <w:rPr>
          <w:rFonts w:ascii="Garamond" w:hAnsi="Garamond"/>
        </w:rPr>
        <w:t xml:space="preserve">(CRTF) </w:t>
      </w:r>
      <w:r w:rsidRPr="00261055">
        <w:rPr>
          <w:rFonts w:ascii="Garamond" w:hAnsi="Garamond"/>
        </w:rPr>
        <w:t>in a catastrophic area as designated by the Commissioner of Insurance.</w:t>
      </w:r>
      <w:r>
        <w:rPr>
          <w:rFonts w:ascii="Garamond" w:hAnsi="Garamond"/>
        </w:rPr>
        <w:t xml:space="preserve"> If issued, proceeds from the Bonds will be used to refund the Notes.</w:t>
      </w:r>
    </w:p>
    <w:p w:rsidR="00DC7167" w:rsidRDefault="00DC7167" w:rsidP="00DC7167">
      <w:pPr>
        <w:pStyle w:val="ListParagraph"/>
        <w:tabs>
          <w:tab w:val="num" w:pos="180"/>
        </w:tabs>
        <w:ind w:hanging="720"/>
        <w:jc w:val="both"/>
        <w:rPr>
          <w:rFonts w:ascii="Garamond" w:hAnsi="Garamond"/>
        </w:rPr>
      </w:pPr>
    </w:p>
    <w:p w:rsidR="00DC7167" w:rsidRDefault="00DC7167" w:rsidP="00DC7167">
      <w:pPr>
        <w:ind w:left="180"/>
        <w:jc w:val="both"/>
        <w:rPr>
          <w:rFonts w:ascii="Garamond" w:hAnsi="Garamond"/>
        </w:rPr>
      </w:pPr>
      <w:r w:rsidRPr="009523BF">
        <w:rPr>
          <w:rFonts w:ascii="Garamond" w:hAnsi="Garamond"/>
        </w:rPr>
        <w:t>TPFA will issue the debt pursuant to Texas Insurance Code Chapter 2210, subchapter</w:t>
      </w:r>
      <w:r>
        <w:rPr>
          <w:rFonts w:ascii="Garamond" w:hAnsi="Garamond"/>
        </w:rPr>
        <w:t>s</w:t>
      </w:r>
      <w:r w:rsidRPr="009523BF">
        <w:rPr>
          <w:rFonts w:ascii="Garamond" w:hAnsi="Garamond"/>
        </w:rPr>
        <w:t xml:space="preserve"> B-1 and M</w:t>
      </w:r>
      <w:r>
        <w:rPr>
          <w:rFonts w:ascii="Garamond" w:hAnsi="Garamond"/>
        </w:rPr>
        <w:t xml:space="preserve">. </w:t>
      </w:r>
      <w:r w:rsidRPr="00DF7C10">
        <w:rPr>
          <w:rFonts w:ascii="Garamond" w:hAnsi="Garamond"/>
        </w:rPr>
        <w:t>On May 15, 2012 TWIA’s board adopted a resolution authorizing the issuance of up to $1 billion in Class 1 securities.</w:t>
      </w:r>
      <w:r>
        <w:rPr>
          <w:rFonts w:ascii="Garamond" w:hAnsi="Garamond"/>
        </w:rPr>
        <w:t xml:space="preserve"> </w:t>
      </w:r>
      <w:r w:rsidRPr="008372FA">
        <w:rPr>
          <w:rFonts w:ascii="Garamond" w:hAnsi="Garamond"/>
        </w:rPr>
        <w:t>On Ju</w:t>
      </w:r>
      <w:r>
        <w:rPr>
          <w:rFonts w:ascii="Garamond" w:hAnsi="Garamond"/>
        </w:rPr>
        <w:t>ly</w:t>
      </w:r>
      <w:r w:rsidRPr="008372FA">
        <w:rPr>
          <w:rFonts w:ascii="Garamond" w:hAnsi="Garamond"/>
        </w:rPr>
        <w:t xml:space="preserve"> 9, 2012 TPFA’s Board approved the </w:t>
      </w:r>
      <w:r>
        <w:rPr>
          <w:rFonts w:ascii="Garamond" w:hAnsi="Garamond"/>
        </w:rPr>
        <w:t xml:space="preserve">TWIA </w:t>
      </w:r>
      <w:r w:rsidRPr="008372FA">
        <w:rPr>
          <w:rFonts w:ascii="Garamond" w:hAnsi="Garamond"/>
        </w:rPr>
        <w:t xml:space="preserve">Program and </w:t>
      </w:r>
      <w:r>
        <w:rPr>
          <w:rFonts w:ascii="Garamond" w:hAnsi="Garamond"/>
        </w:rPr>
        <w:t xml:space="preserve">the </w:t>
      </w:r>
      <w:r w:rsidRPr="008372FA">
        <w:rPr>
          <w:rFonts w:ascii="Garamond" w:hAnsi="Garamond"/>
        </w:rPr>
        <w:t xml:space="preserve">request for the </w:t>
      </w:r>
      <w:r>
        <w:rPr>
          <w:rFonts w:ascii="Garamond" w:hAnsi="Garamond"/>
        </w:rPr>
        <w:t xml:space="preserve">issuances of </w:t>
      </w:r>
      <w:r w:rsidRPr="008372FA">
        <w:rPr>
          <w:rFonts w:ascii="Garamond" w:hAnsi="Garamond"/>
        </w:rPr>
        <w:t>Notes and Bonds of up to $500,000,000 and $600,000,000, respectively.</w:t>
      </w:r>
    </w:p>
    <w:p w:rsidR="00DC7167" w:rsidRDefault="00DC7167" w:rsidP="00DC7167">
      <w:pPr>
        <w:jc w:val="both"/>
        <w:rPr>
          <w:rFonts w:ascii="Garamond" w:hAnsi="Garamond"/>
        </w:rPr>
      </w:pPr>
    </w:p>
    <w:p w:rsidR="00DC7167" w:rsidRDefault="00DC7167" w:rsidP="00DC7167">
      <w:pPr>
        <w:ind w:left="180"/>
        <w:jc w:val="both"/>
        <w:rPr>
          <w:rFonts w:ascii="Garamond" w:hAnsi="Garamond"/>
        </w:rPr>
      </w:pPr>
      <w:r w:rsidRPr="008C371D">
        <w:rPr>
          <w:rFonts w:ascii="Garamond" w:hAnsi="Garamond"/>
        </w:rPr>
        <w:t xml:space="preserve">The Notes will be sold as </w:t>
      </w:r>
      <w:r w:rsidRPr="00901171">
        <w:rPr>
          <w:rFonts w:ascii="Garamond" w:hAnsi="Garamond"/>
        </w:rPr>
        <w:t>variable rate</w:t>
      </w:r>
      <w:r w:rsidRPr="008C371D">
        <w:rPr>
          <w:rFonts w:ascii="Garamond" w:hAnsi="Garamond"/>
        </w:rPr>
        <w:t>, taxable, self-supporting securities in a negotiated sale</w:t>
      </w:r>
      <w:r>
        <w:rPr>
          <w:rFonts w:ascii="Garamond" w:hAnsi="Garamond"/>
        </w:rPr>
        <w:t>.</w:t>
      </w:r>
      <w:r w:rsidRPr="00DD0CAD">
        <w:t xml:space="preserve"> </w:t>
      </w:r>
      <w:r w:rsidRPr="008C371D">
        <w:rPr>
          <w:rFonts w:ascii="Garamond" w:hAnsi="Garamond"/>
        </w:rPr>
        <w:t>The purchase and sale agreement with Merrill Lync</w:t>
      </w:r>
      <w:r>
        <w:rPr>
          <w:rFonts w:ascii="Garamond" w:hAnsi="Garamond"/>
        </w:rPr>
        <w:t>h Pierce Fenner &amp; Smith (MLPFS)</w:t>
      </w:r>
      <w:r w:rsidRPr="008C371D">
        <w:rPr>
          <w:rFonts w:ascii="Garamond" w:hAnsi="Garamond"/>
        </w:rPr>
        <w:t xml:space="preserve"> requires TPFA </w:t>
      </w:r>
      <w:r w:rsidRPr="008C371D">
        <w:rPr>
          <w:rFonts w:ascii="Garamond" w:hAnsi="Garamond"/>
        </w:rPr>
        <w:lastRenderedPageBreak/>
        <w:t xml:space="preserve">to seek ratings on the Notes within 60 days of the </w:t>
      </w:r>
      <w:r>
        <w:rPr>
          <w:rFonts w:ascii="Garamond" w:hAnsi="Garamond"/>
        </w:rPr>
        <w:t>d</w:t>
      </w:r>
      <w:r w:rsidRPr="008C371D">
        <w:rPr>
          <w:rFonts w:ascii="Garamond" w:hAnsi="Garamond"/>
        </w:rPr>
        <w:t xml:space="preserve">elivery </w:t>
      </w:r>
      <w:r>
        <w:rPr>
          <w:rFonts w:ascii="Garamond" w:hAnsi="Garamond"/>
        </w:rPr>
        <w:t>d</w:t>
      </w:r>
      <w:r w:rsidRPr="008C371D">
        <w:rPr>
          <w:rFonts w:ascii="Garamond" w:hAnsi="Garamond"/>
        </w:rPr>
        <w:t xml:space="preserve">ate. </w:t>
      </w:r>
      <w:r w:rsidRPr="00DD0CAD">
        <w:rPr>
          <w:rFonts w:ascii="Garamond" w:hAnsi="Garamond"/>
        </w:rPr>
        <w:t xml:space="preserve">The </w:t>
      </w:r>
      <w:r>
        <w:rPr>
          <w:rFonts w:ascii="Garamond" w:hAnsi="Garamond"/>
        </w:rPr>
        <w:t>i</w:t>
      </w:r>
      <w:r w:rsidRPr="00DD0CAD">
        <w:rPr>
          <w:rFonts w:ascii="Garamond" w:hAnsi="Garamond"/>
        </w:rPr>
        <w:t xml:space="preserve">nitial </w:t>
      </w:r>
      <w:r>
        <w:rPr>
          <w:rFonts w:ascii="Garamond" w:hAnsi="Garamond"/>
        </w:rPr>
        <w:t>i</w:t>
      </w:r>
      <w:r w:rsidRPr="00DD0CAD">
        <w:rPr>
          <w:rFonts w:ascii="Garamond" w:hAnsi="Garamond"/>
        </w:rPr>
        <w:t xml:space="preserve">nterest </w:t>
      </w:r>
      <w:r>
        <w:rPr>
          <w:rFonts w:ascii="Garamond" w:hAnsi="Garamond"/>
        </w:rPr>
        <w:t>r</w:t>
      </w:r>
      <w:r w:rsidRPr="00DD0CAD">
        <w:rPr>
          <w:rFonts w:ascii="Garamond" w:hAnsi="Garamond"/>
        </w:rPr>
        <w:t xml:space="preserve">ate is fixed </w:t>
      </w:r>
      <w:r>
        <w:rPr>
          <w:rFonts w:ascii="Garamond" w:hAnsi="Garamond"/>
        </w:rPr>
        <w:t>at</w:t>
      </w:r>
      <w:r w:rsidRPr="00DD0CAD">
        <w:rPr>
          <w:rFonts w:ascii="Garamond" w:hAnsi="Garamond"/>
        </w:rPr>
        <w:t xml:space="preserve"> 1% unless the Notes do not receive a long-term rating of at least A by 2 rating agen</w:t>
      </w:r>
      <w:r>
        <w:rPr>
          <w:rFonts w:ascii="Garamond" w:hAnsi="Garamond"/>
        </w:rPr>
        <w:t>cies or the highest short-</w:t>
      </w:r>
      <w:r w:rsidRPr="00DD0CAD">
        <w:rPr>
          <w:rFonts w:ascii="Garamond" w:hAnsi="Garamond"/>
        </w:rPr>
        <w:t xml:space="preserve">term ratings by at least two ratings agencies within 60 days of </w:t>
      </w:r>
      <w:r>
        <w:rPr>
          <w:rFonts w:ascii="Garamond" w:hAnsi="Garamond"/>
        </w:rPr>
        <w:t>c</w:t>
      </w:r>
      <w:r w:rsidRPr="00DD0CAD">
        <w:rPr>
          <w:rFonts w:ascii="Garamond" w:hAnsi="Garamond"/>
        </w:rPr>
        <w:t>losing. If the Notes are unrated or do not receive the required rating</w:t>
      </w:r>
      <w:r>
        <w:rPr>
          <w:rFonts w:ascii="Garamond" w:hAnsi="Garamond"/>
        </w:rPr>
        <w:t>s</w:t>
      </w:r>
      <w:r w:rsidRPr="00DD0CAD">
        <w:rPr>
          <w:rFonts w:ascii="Garamond" w:hAnsi="Garamond"/>
        </w:rPr>
        <w:t xml:space="preserve"> by the 60th day, the </w:t>
      </w:r>
      <w:r>
        <w:rPr>
          <w:rFonts w:ascii="Garamond" w:hAnsi="Garamond"/>
        </w:rPr>
        <w:t>i</w:t>
      </w:r>
      <w:r w:rsidRPr="00DD0CAD">
        <w:rPr>
          <w:rFonts w:ascii="Garamond" w:hAnsi="Garamond"/>
        </w:rPr>
        <w:t xml:space="preserve">nterest </w:t>
      </w:r>
      <w:r>
        <w:rPr>
          <w:rFonts w:ascii="Garamond" w:hAnsi="Garamond"/>
        </w:rPr>
        <w:t>r</w:t>
      </w:r>
      <w:r w:rsidRPr="00DD0CAD">
        <w:rPr>
          <w:rFonts w:ascii="Garamond" w:hAnsi="Garamond"/>
        </w:rPr>
        <w:t>ate increases to 2.5% on the 61st day.</w:t>
      </w:r>
    </w:p>
    <w:p w:rsidR="00DC7167" w:rsidRDefault="00DC7167" w:rsidP="00DC7167">
      <w:pPr>
        <w:ind w:left="180"/>
        <w:jc w:val="both"/>
        <w:rPr>
          <w:rFonts w:ascii="Garamond" w:hAnsi="Garamond"/>
        </w:rPr>
      </w:pPr>
    </w:p>
    <w:p w:rsidR="00DC7167" w:rsidRDefault="00DC7167" w:rsidP="00DC7167">
      <w:pPr>
        <w:ind w:left="180"/>
        <w:jc w:val="both"/>
        <w:rPr>
          <w:rFonts w:ascii="Garamond" w:hAnsi="Garamond"/>
        </w:rPr>
      </w:pPr>
      <w:r w:rsidRPr="00901171">
        <w:rPr>
          <w:rFonts w:ascii="Garamond" w:hAnsi="Garamond"/>
        </w:rPr>
        <w:t xml:space="preserve">If no catastrophic event occurs, </w:t>
      </w:r>
      <w:r>
        <w:rPr>
          <w:rFonts w:ascii="Garamond" w:hAnsi="Garamond"/>
        </w:rPr>
        <w:t xml:space="preserve">proceeds from </w:t>
      </w:r>
      <w:r w:rsidRPr="00901171">
        <w:rPr>
          <w:rFonts w:ascii="Garamond" w:hAnsi="Garamond"/>
        </w:rPr>
        <w:t xml:space="preserve">the Notes </w:t>
      </w:r>
      <w:r>
        <w:rPr>
          <w:rFonts w:ascii="Garamond" w:hAnsi="Garamond"/>
        </w:rPr>
        <w:t>issuance, including the</w:t>
      </w:r>
      <w:r w:rsidRPr="00901171">
        <w:rPr>
          <w:rFonts w:ascii="Garamond" w:hAnsi="Garamond"/>
        </w:rPr>
        <w:t xml:space="preserve"> net premium and other revenue of TWIA will be used to defease the Notes on January 31, 2013. </w:t>
      </w:r>
      <w:r>
        <w:rPr>
          <w:rFonts w:ascii="Garamond" w:hAnsi="Garamond"/>
        </w:rPr>
        <w:t xml:space="preserve">MLPFS will be paid </w:t>
      </w:r>
      <w:r w:rsidRPr="00901171">
        <w:rPr>
          <w:rFonts w:ascii="Garamond" w:hAnsi="Garamond"/>
        </w:rPr>
        <w:t xml:space="preserve">a $100,000 commitment fee </w:t>
      </w:r>
      <w:r>
        <w:rPr>
          <w:rFonts w:ascii="Garamond" w:hAnsi="Garamond"/>
        </w:rPr>
        <w:t xml:space="preserve">at the closing for the Notes. </w:t>
      </w:r>
    </w:p>
    <w:p w:rsidR="00DC7167" w:rsidRDefault="00DC7167" w:rsidP="00DC7167">
      <w:pPr>
        <w:ind w:left="180"/>
        <w:jc w:val="both"/>
        <w:rPr>
          <w:rFonts w:ascii="Garamond" w:hAnsi="Garamond"/>
        </w:rPr>
      </w:pPr>
    </w:p>
    <w:p w:rsidR="00DC7167" w:rsidRPr="00DC7167" w:rsidRDefault="00DC7167" w:rsidP="00DC7167">
      <w:pPr>
        <w:ind w:left="180"/>
        <w:jc w:val="both"/>
        <w:rPr>
          <w:rFonts w:ascii="Garamond" w:hAnsi="Garamond"/>
        </w:rPr>
      </w:pPr>
      <w:r w:rsidRPr="00DC7167">
        <w:rPr>
          <w:rFonts w:ascii="Garamond" w:hAnsi="Garamond"/>
        </w:rPr>
        <w:t>The security pledge for the Notes is net premium and other revenues of TWIA, per Insurance Code §2110.612. Net premium is defined as gross premium less unearned premium.</w:t>
      </w:r>
    </w:p>
    <w:p w:rsidR="00DC7167" w:rsidRPr="00DC7167" w:rsidRDefault="00DC7167" w:rsidP="00DC7167">
      <w:pPr>
        <w:ind w:left="180"/>
        <w:jc w:val="both"/>
        <w:rPr>
          <w:rFonts w:ascii="Garamond" w:hAnsi="Garamond"/>
        </w:rPr>
      </w:pPr>
    </w:p>
    <w:p w:rsidR="00DC7167" w:rsidRPr="00DC7167" w:rsidRDefault="00DC7167" w:rsidP="00DC7167">
      <w:pPr>
        <w:ind w:left="180"/>
        <w:jc w:val="both"/>
      </w:pPr>
      <w:r w:rsidRPr="00DC7167">
        <w:rPr>
          <w:rFonts w:ascii="Garamond" w:hAnsi="Garamond"/>
        </w:rPr>
        <w:t>The Notes do not create or constitute in any way an obligation, a debt or a liability of the state of Texas or constitute a pledge, giving or lending of the faith or credit or taxing power of the state of Texas.</w:t>
      </w:r>
      <w:r w:rsidRPr="00DC7167">
        <w:t xml:space="preserve"> </w:t>
      </w:r>
      <w:r w:rsidRPr="008C371D">
        <w:rPr>
          <w:rFonts w:ascii="Garamond" w:hAnsi="Garamond"/>
        </w:rPr>
        <w:t xml:space="preserve">The Notes </w:t>
      </w:r>
      <w:r>
        <w:rPr>
          <w:rFonts w:ascii="Garamond" w:hAnsi="Garamond"/>
        </w:rPr>
        <w:t xml:space="preserve">will </w:t>
      </w:r>
      <w:r w:rsidRPr="008C371D">
        <w:rPr>
          <w:rFonts w:ascii="Garamond" w:hAnsi="Garamond"/>
        </w:rPr>
        <w:t xml:space="preserve">be issued to provide short-term </w:t>
      </w:r>
      <w:r>
        <w:rPr>
          <w:rFonts w:ascii="Garamond" w:hAnsi="Garamond"/>
        </w:rPr>
        <w:t>financing</w:t>
      </w:r>
      <w:r w:rsidRPr="008C371D">
        <w:rPr>
          <w:rFonts w:ascii="Garamond" w:hAnsi="Garamond"/>
        </w:rPr>
        <w:t xml:space="preserve"> </w:t>
      </w:r>
      <w:r>
        <w:rPr>
          <w:rFonts w:ascii="Garamond" w:hAnsi="Garamond"/>
        </w:rPr>
        <w:t>for</w:t>
      </w:r>
      <w:r w:rsidRPr="008C371D">
        <w:rPr>
          <w:rFonts w:ascii="Garamond" w:hAnsi="Garamond"/>
        </w:rPr>
        <w:t xml:space="preserve"> TWIA in the event </w:t>
      </w:r>
      <w:r>
        <w:rPr>
          <w:rFonts w:ascii="Garamond" w:hAnsi="Garamond"/>
        </w:rPr>
        <w:t>of</w:t>
      </w:r>
      <w:r w:rsidRPr="008C371D">
        <w:rPr>
          <w:rFonts w:ascii="Garamond" w:hAnsi="Garamond"/>
        </w:rPr>
        <w:t xml:space="preserve"> a catastrophic event in 2012. TWIA has purchased reinsurance at an attachment point of $2.</w:t>
      </w:r>
      <w:r>
        <w:rPr>
          <w:rFonts w:ascii="Garamond" w:hAnsi="Garamond"/>
        </w:rPr>
        <w:t>3</w:t>
      </w:r>
      <w:r w:rsidRPr="008C371D">
        <w:rPr>
          <w:rFonts w:ascii="Garamond" w:hAnsi="Garamond"/>
        </w:rPr>
        <w:t xml:space="preserve"> billion</w:t>
      </w:r>
      <w:r>
        <w:rPr>
          <w:rFonts w:ascii="Garamond" w:hAnsi="Garamond"/>
        </w:rPr>
        <w:t>, i.e., i</w:t>
      </w:r>
      <w:r w:rsidRPr="008C371D">
        <w:rPr>
          <w:rFonts w:ascii="Garamond" w:hAnsi="Garamond"/>
        </w:rPr>
        <w:t xml:space="preserve">f losses </w:t>
      </w:r>
      <w:r>
        <w:rPr>
          <w:rFonts w:ascii="Garamond" w:hAnsi="Garamond"/>
        </w:rPr>
        <w:t>exceed</w:t>
      </w:r>
      <w:r w:rsidRPr="008C371D">
        <w:rPr>
          <w:rFonts w:ascii="Garamond" w:hAnsi="Garamond"/>
        </w:rPr>
        <w:t xml:space="preserve"> $2.</w:t>
      </w:r>
      <w:r>
        <w:rPr>
          <w:rFonts w:ascii="Garamond" w:hAnsi="Garamond"/>
        </w:rPr>
        <w:t>3</w:t>
      </w:r>
      <w:r w:rsidRPr="008C371D">
        <w:rPr>
          <w:rFonts w:ascii="Garamond" w:hAnsi="Garamond"/>
        </w:rPr>
        <w:t xml:space="preserve"> billion</w:t>
      </w:r>
      <w:r w:rsidRPr="002B7ADA">
        <w:rPr>
          <w:rFonts w:ascii="Garamond" w:hAnsi="Garamond"/>
        </w:rPr>
        <w:t>.</w:t>
      </w:r>
    </w:p>
    <w:p w:rsidR="00DC7167" w:rsidRDefault="00DC7167" w:rsidP="00DC7167">
      <w:pPr>
        <w:ind w:left="180"/>
        <w:jc w:val="both"/>
        <w:rPr>
          <w:rFonts w:ascii="Garamond" w:hAnsi="Garamond"/>
        </w:rPr>
      </w:pPr>
    </w:p>
    <w:p w:rsidR="00DC7167" w:rsidRPr="00335AFD" w:rsidRDefault="00DC7167" w:rsidP="00DC7167">
      <w:pPr>
        <w:ind w:left="180"/>
        <w:jc w:val="both"/>
        <w:rPr>
          <w:rFonts w:ascii="Garamond" w:hAnsi="Garamond"/>
        </w:rPr>
      </w:pPr>
      <w:r w:rsidRPr="009523BF">
        <w:rPr>
          <w:rFonts w:ascii="Garamond" w:hAnsi="Garamond"/>
        </w:rPr>
        <w:t xml:space="preserve">The Tender Date </w:t>
      </w:r>
      <w:r>
        <w:rPr>
          <w:rFonts w:ascii="Garamond" w:hAnsi="Garamond"/>
        </w:rPr>
        <w:t>(</w:t>
      </w:r>
      <w:r w:rsidRPr="009523BF">
        <w:rPr>
          <w:rFonts w:ascii="Garamond" w:hAnsi="Garamond"/>
        </w:rPr>
        <w:t>“soft put”</w:t>
      </w:r>
      <w:r>
        <w:rPr>
          <w:rFonts w:ascii="Garamond" w:hAnsi="Garamond"/>
        </w:rPr>
        <w:t>)</w:t>
      </w:r>
      <w:r w:rsidRPr="009523BF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for the Notes </w:t>
      </w:r>
      <w:r w:rsidRPr="009523BF">
        <w:rPr>
          <w:rFonts w:ascii="Garamond" w:hAnsi="Garamond"/>
        </w:rPr>
        <w:t>is January 31, 2013</w:t>
      </w:r>
      <w:r>
        <w:rPr>
          <w:rFonts w:ascii="Garamond" w:hAnsi="Garamond"/>
        </w:rPr>
        <w:t>.</w:t>
      </w:r>
      <w:r w:rsidRPr="009523BF">
        <w:rPr>
          <w:rFonts w:ascii="Garamond" w:hAnsi="Garamond"/>
        </w:rPr>
        <w:t xml:space="preserve"> If</w:t>
      </w:r>
      <w:r>
        <w:rPr>
          <w:rFonts w:ascii="Garamond" w:hAnsi="Garamond"/>
        </w:rPr>
        <w:t xml:space="preserve"> </w:t>
      </w:r>
      <w:r w:rsidRPr="009523BF">
        <w:rPr>
          <w:rFonts w:ascii="Garamond" w:hAnsi="Garamond"/>
        </w:rPr>
        <w:t xml:space="preserve">no </w:t>
      </w:r>
      <w:r>
        <w:rPr>
          <w:rFonts w:ascii="Garamond" w:hAnsi="Garamond"/>
        </w:rPr>
        <w:t>c</w:t>
      </w:r>
      <w:r w:rsidRPr="009523BF">
        <w:rPr>
          <w:rFonts w:ascii="Garamond" w:hAnsi="Garamond"/>
        </w:rPr>
        <w:t xml:space="preserve">atastrophic </w:t>
      </w:r>
      <w:r>
        <w:rPr>
          <w:rFonts w:ascii="Garamond" w:hAnsi="Garamond"/>
        </w:rPr>
        <w:t>e</w:t>
      </w:r>
      <w:r w:rsidRPr="009523BF">
        <w:rPr>
          <w:rFonts w:ascii="Garamond" w:hAnsi="Garamond"/>
        </w:rPr>
        <w:t xml:space="preserve">vent </w:t>
      </w:r>
      <w:r>
        <w:rPr>
          <w:rFonts w:ascii="Garamond" w:hAnsi="Garamond"/>
        </w:rPr>
        <w:t xml:space="preserve">occurs </w:t>
      </w:r>
      <w:r w:rsidRPr="009523BF">
        <w:rPr>
          <w:rFonts w:ascii="Garamond" w:hAnsi="Garamond"/>
        </w:rPr>
        <w:t xml:space="preserve">requiring the use of </w:t>
      </w:r>
      <w:r>
        <w:rPr>
          <w:rFonts w:ascii="Garamond" w:hAnsi="Garamond"/>
        </w:rPr>
        <w:t>Note</w:t>
      </w:r>
      <w:r w:rsidRPr="009523BF">
        <w:rPr>
          <w:rFonts w:ascii="Garamond" w:hAnsi="Garamond"/>
        </w:rPr>
        <w:t xml:space="preserve"> proceeds for payment of loss claims, th</w:t>
      </w:r>
      <w:r>
        <w:rPr>
          <w:rFonts w:ascii="Garamond" w:hAnsi="Garamond"/>
        </w:rPr>
        <w:t>os</w:t>
      </w:r>
      <w:r w:rsidRPr="009523BF">
        <w:rPr>
          <w:rFonts w:ascii="Garamond" w:hAnsi="Garamond"/>
        </w:rPr>
        <w:t xml:space="preserve">e proceeds will be used to repay the Notes on or before January </w:t>
      </w:r>
      <w:r>
        <w:rPr>
          <w:rFonts w:ascii="Garamond" w:hAnsi="Garamond"/>
        </w:rPr>
        <w:t>31</w:t>
      </w:r>
      <w:r w:rsidRPr="009523BF">
        <w:rPr>
          <w:rFonts w:ascii="Garamond" w:hAnsi="Garamond"/>
        </w:rPr>
        <w:t>, 2013.</w:t>
      </w:r>
      <w:r w:rsidRPr="00335AFD">
        <w:rPr>
          <w:rFonts w:ascii="Garamond" w:hAnsi="Garamond"/>
        </w:rPr>
        <w:t xml:space="preserve"> Notes not prepaid on the Tender Date will convert to Term Rate Notes. From the Tender Date through </w:t>
      </w:r>
      <w:r>
        <w:rPr>
          <w:rFonts w:ascii="Garamond" w:hAnsi="Garamond"/>
        </w:rPr>
        <w:t>July 15, 2015</w:t>
      </w:r>
      <w:r w:rsidRPr="00335AFD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interest on </w:t>
      </w:r>
      <w:r w:rsidRPr="00335AFD">
        <w:rPr>
          <w:rFonts w:ascii="Garamond" w:hAnsi="Garamond"/>
        </w:rPr>
        <w:t>the Term Rate Notes will be 8.00% if they are rated an equivalent to “A” or better by two nationally recognized rating agencies. If th</w:t>
      </w:r>
      <w:r>
        <w:rPr>
          <w:rFonts w:ascii="Garamond" w:hAnsi="Garamond"/>
        </w:rPr>
        <w:t xml:space="preserve">at </w:t>
      </w:r>
      <w:r w:rsidRPr="00335AFD">
        <w:rPr>
          <w:rFonts w:ascii="Garamond" w:hAnsi="Garamond"/>
        </w:rPr>
        <w:t>rating requirement</w:t>
      </w:r>
      <w:r>
        <w:rPr>
          <w:rFonts w:ascii="Garamond" w:hAnsi="Garamond"/>
        </w:rPr>
        <w:t xml:space="preserve"> is not met</w:t>
      </w:r>
      <w:r w:rsidRPr="00335AFD">
        <w:rPr>
          <w:rFonts w:ascii="Garamond" w:hAnsi="Garamond"/>
        </w:rPr>
        <w:t xml:space="preserve">, the </w:t>
      </w:r>
      <w:r>
        <w:rPr>
          <w:rFonts w:ascii="Garamond" w:hAnsi="Garamond"/>
        </w:rPr>
        <w:t>interest rate will be 10%.</w:t>
      </w:r>
      <w:r w:rsidRPr="00335AFD">
        <w:rPr>
          <w:rFonts w:ascii="Garamond" w:hAnsi="Garamond"/>
        </w:rPr>
        <w:t xml:space="preserve"> </w:t>
      </w:r>
    </w:p>
    <w:p w:rsidR="00DC7167" w:rsidRPr="00DC7167" w:rsidRDefault="00DC7167" w:rsidP="00DC7167">
      <w:pPr>
        <w:jc w:val="both"/>
        <w:rPr>
          <w:rFonts w:ascii="Garamond" w:hAnsi="Garamond"/>
        </w:rPr>
      </w:pPr>
    </w:p>
    <w:p w:rsidR="00DC7167" w:rsidRDefault="00DC7167" w:rsidP="00DC7167">
      <w:pPr>
        <w:ind w:left="180"/>
        <w:jc w:val="both"/>
        <w:rPr>
          <w:rFonts w:ascii="Garamond" w:hAnsi="Garamond"/>
        </w:rPr>
      </w:pPr>
      <w:r>
        <w:rPr>
          <w:rFonts w:ascii="Garamond" w:hAnsi="Garamond"/>
        </w:rPr>
        <w:t>Mr. Coalter explained how TWIA and TPFA determined the issuance amount of $500,000,000 in notes for pre</w:t>
      </w:r>
      <w:r w:rsidR="00371477">
        <w:rPr>
          <w:rFonts w:ascii="Garamond" w:hAnsi="Garamond"/>
        </w:rPr>
        <w:t>-</w:t>
      </w:r>
      <w:r>
        <w:rPr>
          <w:rFonts w:ascii="Garamond" w:hAnsi="Garamond"/>
        </w:rPr>
        <w:t>event proceeds. Mr. Coalter stated that issuing pre-event notes and then refunding bonds, if necessary, was the most cost effective method of financing.</w:t>
      </w:r>
      <w:r w:rsidR="00BD4B36">
        <w:rPr>
          <w:rFonts w:ascii="Garamond" w:hAnsi="Garamond"/>
        </w:rPr>
        <w:t xml:space="preserve"> Mr. Coalter stated that the $600,000,000 in refunding bonds would be necessary to pay cost of issuance, refund the outstanding notes and fund a reserve fund, if necessary. </w:t>
      </w:r>
      <w:r>
        <w:rPr>
          <w:rFonts w:ascii="Garamond" w:hAnsi="Garamond"/>
        </w:rPr>
        <w:t xml:space="preserve"> </w:t>
      </w:r>
    </w:p>
    <w:p w:rsidR="00DC7167" w:rsidRPr="00DC7167" w:rsidRDefault="00DC7167" w:rsidP="00DC7167">
      <w:pPr>
        <w:jc w:val="both"/>
        <w:rPr>
          <w:rFonts w:ascii="Garamond" w:hAnsi="Garamond"/>
          <w:highlight w:val="yellow"/>
        </w:rPr>
      </w:pPr>
    </w:p>
    <w:p w:rsidR="00BD541C" w:rsidRPr="00BD541C" w:rsidRDefault="00BD541C" w:rsidP="00BD541C">
      <w:pPr>
        <w:pStyle w:val="ListParagraph"/>
        <w:numPr>
          <w:ilvl w:val="0"/>
          <w:numId w:val="21"/>
        </w:numPr>
        <w:jc w:val="both"/>
        <w:rPr>
          <w:rFonts w:ascii="Garamond" w:hAnsi="Garamond" w:cs="Arial"/>
          <w:b/>
          <w:bCs/>
        </w:rPr>
      </w:pPr>
      <w:r w:rsidRPr="00BD541C">
        <w:rPr>
          <w:rFonts w:ascii="Garamond" w:hAnsi="Garamond" w:cs="Arial"/>
          <w:b/>
          <w:bCs/>
        </w:rPr>
        <w:t xml:space="preserve">EXEMPT – </w:t>
      </w:r>
      <w:r w:rsidRPr="00BD541C">
        <w:rPr>
          <w:rFonts w:ascii="Garamond" w:hAnsi="Garamond" w:cs="Tahoma"/>
          <w:b/>
        </w:rPr>
        <w:t>Texas Public Finance Authority Class 1 Revenue Refunding Bonds (Texas Windstorm Insurance Association Program) Taxable Series 2012</w:t>
      </w:r>
    </w:p>
    <w:p w:rsidR="005D64D6" w:rsidRDefault="005D64D6" w:rsidP="005D64D6">
      <w:pPr>
        <w:pStyle w:val="ListParagraph"/>
        <w:tabs>
          <w:tab w:val="num" w:pos="180"/>
        </w:tabs>
        <w:ind w:hanging="720"/>
        <w:rPr>
          <w:rFonts w:ascii="Garamond" w:hAnsi="Garamond" w:cs="Arial"/>
          <w:bCs/>
        </w:rPr>
      </w:pPr>
      <w:r>
        <w:rPr>
          <w:rFonts w:ascii="Garamond" w:hAnsi="Garamond" w:cs="Arial"/>
          <w:b/>
          <w:bCs/>
        </w:rPr>
        <w:tab/>
      </w:r>
    </w:p>
    <w:p w:rsidR="003555D0" w:rsidRPr="00BD541C" w:rsidRDefault="00DC7167" w:rsidP="00BD541C">
      <w:pPr>
        <w:ind w:left="180"/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See item II above for details of this transaction. </w:t>
      </w:r>
    </w:p>
    <w:p w:rsidR="003555D0" w:rsidRPr="00BD541C" w:rsidRDefault="003555D0" w:rsidP="00BD541C">
      <w:pPr>
        <w:tabs>
          <w:tab w:val="num" w:pos="630"/>
        </w:tabs>
        <w:jc w:val="both"/>
        <w:rPr>
          <w:rFonts w:ascii="Garamond" w:hAnsi="Garamond" w:cs="Arial"/>
          <w:bCs/>
          <w:highlight w:val="yellow"/>
        </w:rPr>
      </w:pPr>
    </w:p>
    <w:p w:rsidR="005D468A" w:rsidRPr="00EF5FE3" w:rsidRDefault="005D468A" w:rsidP="002D5A72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EF5FE3">
        <w:rPr>
          <w:rFonts w:ascii="Garamond" w:hAnsi="Garamond"/>
          <w:b/>
        </w:rPr>
        <w:t>Public Comment</w:t>
      </w:r>
    </w:p>
    <w:p w:rsidR="00EF5FE3" w:rsidRPr="00EF5FE3" w:rsidRDefault="00EF5FE3" w:rsidP="00474388">
      <w:pPr>
        <w:pStyle w:val="ListParagraph"/>
        <w:tabs>
          <w:tab w:val="num" w:pos="630"/>
        </w:tabs>
        <w:ind w:left="180"/>
        <w:rPr>
          <w:rFonts w:ascii="Garamond" w:hAnsi="Garamond"/>
        </w:rPr>
      </w:pPr>
    </w:p>
    <w:p w:rsidR="00EF5FE3" w:rsidRDefault="00AC5EFA" w:rsidP="00474388">
      <w:pPr>
        <w:pStyle w:val="ListParagraph"/>
        <w:tabs>
          <w:tab w:val="num" w:pos="630"/>
        </w:tabs>
        <w:ind w:left="180"/>
        <w:rPr>
          <w:rFonts w:ascii="Garamond" w:hAnsi="Garamond"/>
        </w:rPr>
      </w:pPr>
      <w:r>
        <w:rPr>
          <w:rFonts w:ascii="Garamond" w:hAnsi="Garamond"/>
        </w:rPr>
        <w:t>There were no public comments.</w:t>
      </w:r>
    </w:p>
    <w:p w:rsidR="00325EE7" w:rsidRDefault="00325EE7" w:rsidP="00474388">
      <w:pPr>
        <w:pStyle w:val="ListParagraph"/>
        <w:tabs>
          <w:tab w:val="num" w:pos="630"/>
        </w:tabs>
        <w:ind w:left="180"/>
        <w:rPr>
          <w:rFonts w:ascii="Garamond" w:hAnsi="Garamond"/>
        </w:rPr>
      </w:pPr>
    </w:p>
    <w:p w:rsidR="00552879" w:rsidRDefault="00552879" w:rsidP="00474388">
      <w:pPr>
        <w:pStyle w:val="ListParagraph"/>
        <w:tabs>
          <w:tab w:val="num" w:pos="630"/>
        </w:tabs>
        <w:ind w:left="180"/>
        <w:rPr>
          <w:rFonts w:ascii="Garamond" w:hAnsi="Garamond"/>
        </w:rPr>
      </w:pPr>
    </w:p>
    <w:p w:rsidR="00B46550" w:rsidRPr="00EF5FE3" w:rsidRDefault="00B46550" w:rsidP="002D5A72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EF5FE3">
        <w:rPr>
          <w:rFonts w:ascii="Garamond" w:hAnsi="Garamond"/>
          <w:b/>
        </w:rPr>
        <w:t>Adjourn</w:t>
      </w:r>
    </w:p>
    <w:p w:rsidR="00EF5FE3" w:rsidRPr="00EF5FE3" w:rsidRDefault="00EF5FE3" w:rsidP="00474388">
      <w:pPr>
        <w:pStyle w:val="ListParagraph"/>
        <w:tabs>
          <w:tab w:val="num" w:pos="630"/>
        </w:tabs>
        <w:ind w:left="180"/>
        <w:rPr>
          <w:rFonts w:ascii="Garamond" w:hAnsi="Garamond"/>
        </w:rPr>
      </w:pPr>
    </w:p>
    <w:p w:rsidR="00EF5FE3" w:rsidRPr="00EF5FE3" w:rsidRDefault="00EF5FE3" w:rsidP="00474388">
      <w:pPr>
        <w:tabs>
          <w:tab w:val="num" w:pos="630"/>
        </w:tabs>
        <w:ind w:left="180"/>
        <w:jc w:val="both"/>
        <w:rPr>
          <w:rFonts w:ascii="Garamond" w:hAnsi="Garamond"/>
        </w:rPr>
      </w:pPr>
      <w:r w:rsidRPr="00EF5FE3">
        <w:rPr>
          <w:rFonts w:ascii="Garamond" w:hAnsi="Garamond"/>
        </w:rPr>
        <w:t>There being no further business to discuss, th</w:t>
      </w:r>
      <w:r w:rsidR="00167516">
        <w:rPr>
          <w:rFonts w:ascii="Garamond" w:hAnsi="Garamond"/>
        </w:rPr>
        <w:t>e</w:t>
      </w:r>
      <w:r w:rsidRPr="00EF5FE3">
        <w:rPr>
          <w:rFonts w:ascii="Garamond" w:hAnsi="Garamond"/>
        </w:rPr>
        <w:t xml:space="preserve"> planning session adjourned</w:t>
      </w:r>
      <w:r w:rsidR="00167516">
        <w:rPr>
          <w:rFonts w:ascii="Garamond" w:hAnsi="Garamond"/>
        </w:rPr>
        <w:t xml:space="preserve"> </w:t>
      </w:r>
      <w:r w:rsidR="00167516" w:rsidRPr="004D6C34">
        <w:rPr>
          <w:rFonts w:ascii="Garamond" w:hAnsi="Garamond"/>
        </w:rPr>
        <w:t>at 10:</w:t>
      </w:r>
      <w:r w:rsidR="00DA6F26">
        <w:rPr>
          <w:rFonts w:ascii="Garamond" w:hAnsi="Garamond"/>
        </w:rPr>
        <w:t>33</w:t>
      </w:r>
      <w:r w:rsidR="00167516" w:rsidRPr="00167516">
        <w:rPr>
          <w:rFonts w:ascii="Garamond" w:hAnsi="Garamond"/>
        </w:rPr>
        <w:t xml:space="preserve"> a.m</w:t>
      </w:r>
      <w:r w:rsidRPr="00EF5FE3">
        <w:rPr>
          <w:rFonts w:ascii="Garamond" w:hAnsi="Garamond"/>
        </w:rPr>
        <w:t>.</w:t>
      </w:r>
    </w:p>
    <w:p w:rsidR="00EF5FE3" w:rsidRPr="00EF5FE3" w:rsidRDefault="00EF5FE3" w:rsidP="00474388">
      <w:pPr>
        <w:tabs>
          <w:tab w:val="num" w:pos="630"/>
        </w:tabs>
        <w:ind w:left="180"/>
        <w:jc w:val="both"/>
        <w:rPr>
          <w:rFonts w:ascii="Garamond" w:hAnsi="Garamond"/>
        </w:rPr>
      </w:pPr>
    </w:p>
    <w:p w:rsidR="00B46550" w:rsidRPr="00EF5FE3" w:rsidRDefault="00B46550" w:rsidP="00474388">
      <w:pPr>
        <w:widowControl w:val="0"/>
        <w:tabs>
          <w:tab w:val="left" w:pos="0"/>
          <w:tab w:val="num" w:pos="630"/>
        </w:tabs>
        <w:autoSpaceDE w:val="0"/>
        <w:autoSpaceDN w:val="0"/>
        <w:adjustRightInd w:val="0"/>
        <w:ind w:left="180"/>
        <w:rPr>
          <w:rFonts w:ascii="Garamond" w:hAnsi="Garamond"/>
          <w:highlight w:val="yellow"/>
        </w:rPr>
      </w:pPr>
    </w:p>
    <w:sectPr w:rsidR="00B46550" w:rsidRPr="00EF5FE3" w:rsidSect="000528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B36" w:rsidRDefault="00BD4B36">
      <w:r>
        <w:separator/>
      </w:r>
    </w:p>
  </w:endnote>
  <w:endnote w:type="continuationSeparator" w:id="0">
    <w:p w:rsidR="00BD4B36" w:rsidRDefault="00BD4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2C4" w:rsidRDefault="002E32C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2C4" w:rsidRDefault="002E32C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2C4" w:rsidRDefault="002E32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B36" w:rsidRDefault="00BD4B36">
      <w:r>
        <w:separator/>
      </w:r>
    </w:p>
  </w:footnote>
  <w:footnote w:type="continuationSeparator" w:id="0">
    <w:p w:rsidR="00BD4B36" w:rsidRDefault="00BD4B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2C4" w:rsidRDefault="002E32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B36" w:rsidRDefault="00BD4B36">
    <w:pPr>
      <w:pStyle w:val="Header"/>
    </w:pPr>
  </w:p>
  <w:p w:rsidR="00BD4B36" w:rsidRDefault="00BD4B3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2C4" w:rsidRDefault="002E32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4227"/>
    <w:multiLevelType w:val="hybridMultilevel"/>
    <w:tmpl w:val="1B70FEC4"/>
    <w:lvl w:ilvl="0" w:tplc="3FFC1AC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7B4DDC"/>
    <w:multiLevelType w:val="hybridMultilevel"/>
    <w:tmpl w:val="9F343164"/>
    <w:lvl w:ilvl="0" w:tplc="E34EB65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125F64"/>
    <w:multiLevelType w:val="hybridMultilevel"/>
    <w:tmpl w:val="8D3842E0"/>
    <w:lvl w:ilvl="0" w:tplc="3FFC1AC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1619C7"/>
    <w:multiLevelType w:val="hybridMultilevel"/>
    <w:tmpl w:val="1A2EB278"/>
    <w:lvl w:ilvl="0" w:tplc="C71E83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0B2A54"/>
    <w:multiLevelType w:val="hybridMultilevel"/>
    <w:tmpl w:val="699E3B6A"/>
    <w:lvl w:ilvl="0" w:tplc="CF3244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7A67566"/>
    <w:multiLevelType w:val="multilevel"/>
    <w:tmpl w:val="6912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515F04"/>
    <w:multiLevelType w:val="hybridMultilevel"/>
    <w:tmpl w:val="D1FEB292"/>
    <w:lvl w:ilvl="0" w:tplc="7B18CA48">
      <w:start w:val="1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>
    <w:nsid w:val="2340163C"/>
    <w:multiLevelType w:val="multilevel"/>
    <w:tmpl w:val="6EE4A91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F148EE"/>
    <w:multiLevelType w:val="hybridMultilevel"/>
    <w:tmpl w:val="A372000A"/>
    <w:lvl w:ilvl="0" w:tplc="D70A45FE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1F357F"/>
    <w:multiLevelType w:val="hybridMultilevel"/>
    <w:tmpl w:val="1B70FEC4"/>
    <w:lvl w:ilvl="0" w:tplc="3FFC1AC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711BA9"/>
    <w:multiLevelType w:val="hybridMultilevel"/>
    <w:tmpl w:val="5C0CB3A0"/>
    <w:lvl w:ilvl="0" w:tplc="3FFC1AC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B31D2F"/>
    <w:multiLevelType w:val="multilevel"/>
    <w:tmpl w:val="F534544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A27399A"/>
    <w:multiLevelType w:val="hybridMultilevel"/>
    <w:tmpl w:val="055E3C58"/>
    <w:lvl w:ilvl="0" w:tplc="3FFC1AC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F97C0B"/>
    <w:multiLevelType w:val="hybridMultilevel"/>
    <w:tmpl w:val="E2EAE6FC"/>
    <w:lvl w:ilvl="0" w:tplc="67AEEB7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40996873"/>
    <w:multiLevelType w:val="hybridMultilevel"/>
    <w:tmpl w:val="88A6E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103E44"/>
    <w:multiLevelType w:val="hybridMultilevel"/>
    <w:tmpl w:val="9FBA2290"/>
    <w:lvl w:ilvl="0" w:tplc="3FFC1AC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CF2F44"/>
    <w:multiLevelType w:val="hybridMultilevel"/>
    <w:tmpl w:val="F886AE54"/>
    <w:lvl w:ilvl="0" w:tplc="B4A6BC6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096005"/>
    <w:multiLevelType w:val="hybridMultilevel"/>
    <w:tmpl w:val="8D103124"/>
    <w:lvl w:ilvl="0" w:tplc="916A20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465677"/>
    <w:multiLevelType w:val="hybridMultilevel"/>
    <w:tmpl w:val="F5345448"/>
    <w:lvl w:ilvl="0" w:tplc="DBA0141E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C50F46"/>
    <w:multiLevelType w:val="hybridMultilevel"/>
    <w:tmpl w:val="4A1804F4"/>
    <w:lvl w:ilvl="0" w:tplc="E1007E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797FF2"/>
    <w:multiLevelType w:val="hybridMultilevel"/>
    <w:tmpl w:val="E0D617D8"/>
    <w:lvl w:ilvl="0" w:tplc="3FFC1AC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25444D"/>
    <w:multiLevelType w:val="hybridMultilevel"/>
    <w:tmpl w:val="91A86B9C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2">
    <w:nsid w:val="5AE13DF2"/>
    <w:multiLevelType w:val="hybridMultilevel"/>
    <w:tmpl w:val="54F6FA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560222"/>
    <w:multiLevelType w:val="hybridMultilevel"/>
    <w:tmpl w:val="14EA95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950FB9"/>
    <w:multiLevelType w:val="hybridMultilevel"/>
    <w:tmpl w:val="51D0FF32"/>
    <w:lvl w:ilvl="0" w:tplc="5B647E1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ED7BEB"/>
    <w:multiLevelType w:val="hybridMultilevel"/>
    <w:tmpl w:val="6EE4A91A"/>
    <w:lvl w:ilvl="0" w:tplc="0FB887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5C2CA7"/>
    <w:multiLevelType w:val="hybridMultilevel"/>
    <w:tmpl w:val="A372000A"/>
    <w:lvl w:ilvl="0" w:tplc="D70A45FE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406787"/>
    <w:multiLevelType w:val="hybridMultilevel"/>
    <w:tmpl w:val="A10CB0EE"/>
    <w:lvl w:ilvl="0" w:tplc="D47AD95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7DBD0D7D"/>
    <w:multiLevelType w:val="hybridMultilevel"/>
    <w:tmpl w:val="39503E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5"/>
  </w:num>
  <w:num w:numId="3">
    <w:abstractNumId w:val="22"/>
  </w:num>
  <w:num w:numId="4">
    <w:abstractNumId w:val="23"/>
  </w:num>
  <w:num w:numId="5">
    <w:abstractNumId w:val="14"/>
  </w:num>
  <w:num w:numId="6">
    <w:abstractNumId w:val="17"/>
  </w:num>
  <w:num w:numId="7">
    <w:abstractNumId w:val="21"/>
  </w:num>
  <w:num w:numId="8">
    <w:abstractNumId w:val="6"/>
  </w:num>
  <w:num w:numId="9">
    <w:abstractNumId w:val="27"/>
  </w:num>
  <w:num w:numId="10">
    <w:abstractNumId w:val="13"/>
  </w:num>
  <w:num w:numId="11">
    <w:abstractNumId w:val="3"/>
  </w:num>
  <w:num w:numId="12">
    <w:abstractNumId w:val="4"/>
  </w:num>
  <w:num w:numId="13">
    <w:abstractNumId w:val="25"/>
  </w:num>
  <w:num w:numId="14">
    <w:abstractNumId w:val="19"/>
  </w:num>
  <w:num w:numId="15">
    <w:abstractNumId w:val="24"/>
  </w:num>
  <w:num w:numId="16">
    <w:abstractNumId w:val="16"/>
  </w:num>
  <w:num w:numId="17">
    <w:abstractNumId w:val="18"/>
  </w:num>
  <w:num w:numId="18">
    <w:abstractNumId w:val="1"/>
  </w:num>
  <w:num w:numId="19">
    <w:abstractNumId w:val="11"/>
  </w:num>
  <w:num w:numId="20">
    <w:abstractNumId w:val="7"/>
  </w:num>
  <w:num w:numId="21">
    <w:abstractNumId w:val="8"/>
  </w:num>
  <w:num w:numId="22">
    <w:abstractNumId w:val="20"/>
  </w:num>
  <w:num w:numId="23">
    <w:abstractNumId w:val="10"/>
  </w:num>
  <w:num w:numId="24">
    <w:abstractNumId w:val="2"/>
  </w:num>
  <w:num w:numId="25">
    <w:abstractNumId w:val="15"/>
  </w:num>
  <w:num w:numId="26">
    <w:abstractNumId w:val="12"/>
  </w:num>
  <w:num w:numId="27">
    <w:abstractNumId w:val="9"/>
  </w:num>
  <w:num w:numId="28">
    <w:abstractNumId w:val="0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removePersonalInformation/>
  <w:removeDateAndTime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/>
  <w:rsids>
    <w:rsidRoot w:val="00A46CFB"/>
    <w:rsid w:val="00000346"/>
    <w:rsid w:val="00000E1F"/>
    <w:rsid w:val="00003CE5"/>
    <w:rsid w:val="00006FFC"/>
    <w:rsid w:val="00025DB1"/>
    <w:rsid w:val="000274E3"/>
    <w:rsid w:val="00030DFF"/>
    <w:rsid w:val="0003194C"/>
    <w:rsid w:val="00037BA0"/>
    <w:rsid w:val="0004011E"/>
    <w:rsid w:val="00043E8E"/>
    <w:rsid w:val="00044DCB"/>
    <w:rsid w:val="0004679F"/>
    <w:rsid w:val="000478E2"/>
    <w:rsid w:val="00050A28"/>
    <w:rsid w:val="00051FF8"/>
    <w:rsid w:val="00052879"/>
    <w:rsid w:val="00054F19"/>
    <w:rsid w:val="00061CFF"/>
    <w:rsid w:val="000640D7"/>
    <w:rsid w:val="00070A38"/>
    <w:rsid w:val="00076DEE"/>
    <w:rsid w:val="000804DD"/>
    <w:rsid w:val="0008736A"/>
    <w:rsid w:val="00087788"/>
    <w:rsid w:val="0009154F"/>
    <w:rsid w:val="00094A13"/>
    <w:rsid w:val="00096B48"/>
    <w:rsid w:val="00097803"/>
    <w:rsid w:val="00097FA5"/>
    <w:rsid w:val="000B0CD4"/>
    <w:rsid w:val="000B318A"/>
    <w:rsid w:val="000B61E5"/>
    <w:rsid w:val="000B7D02"/>
    <w:rsid w:val="000C048A"/>
    <w:rsid w:val="000C75C9"/>
    <w:rsid w:val="000D42A0"/>
    <w:rsid w:val="000E10C1"/>
    <w:rsid w:val="000E1466"/>
    <w:rsid w:val="000F37AD"/>
    <w:rsid w:val="000F7139"/>
    <w:rsid w:val="00102684"/>
    <w:rsid w:val="001050A5"/>
    <w:rsid w:val="0010564E"/>
    <w:rsid w:val="00107773"/>
    <w:rsid w:val="00122692"/>
    <w:rsid w:val="00123201"/>
    <w:rsid w:val="00127C6C"/>
    <w:rsid w:val="00130BBE"/>
    <w:rsid w:val="00141352"/>
    <w:rsid w:val="001433DF"/>
    <w:rsid w:val="00144D9F"/>
    <w:rsid w:val="00146459"/>
    <w:rsid w:val="00146EB8"/>
    <w:rsid w:val="00147346"/>
    <w:rsid w:val="00152554"/>
    <w:rsid w:val="00155494"/>
    <w:rsid w:val="00156B7E"/>
    <w:rsid w:val="001610B0"/>
    <w:rsid w:val="00167516"/>
    <w:rsid w:val="0017102C"/>
    <w:rsid w:val="00171047"/>
    <w:rsid w:val="00172859"/>
    <w:rsid w:val="00175AE0"/>
    <w:rsid w:val="001860EF"/>
    <w:rsid w:val="00192863"/>
    <w:rsid w:val="001977F6"/>
    <w:rsid w:val="001A0788"/>
    <w:rsid w:val="001A5FCA"/>
    <w:rsid w:val="001B08EF"/>
    <w:rsid w:val="001B7124"/>
    <w:rsid w:val="001C380D"/>
    <w:rsid w:val="001C38BC"/>
    <w:rsid w:val="001C621B"/>
    <w:rsid w:val="001E1487"/>
    <w:rsid w:val="001F167C"/>
    <w:rsid w:val="001F370F"/>
    <w:rsid w:val="001F4911"/>
    <w:rsid w:val="001F4AC3"/>
    <w:rsid w:val="001F55B9"/>
    <w:rsid w:val="001F65B4"/>
    <w:rsid w:val="00200861"/>
    <w:rsid w:val="0020468D"/>
    <w:rsid w:val="00206834"/>
    <w:rsid w:val="00212287"/>
    <w:rsid w:val="002137F6"/>
    <w:rsid w:val="00213CD3"/>
    <w:rsid w:val="00215157"/>
    <w:rsid w:val="00217F52"/>
    <w:rsid w:val="0022408A"/>
    <w:rsid w:val="00227B6E"/>
    <w:rsid w:val="0023233D"/>
    <w:rsid w:val="00232363"/>
    <w:rsid w:val="00233E69"/>
    <w:rsid w:val="0023659F"/>
    <w:rsid w:val="00244CAD"/>
    <w:rsid w:val="00250E66"/>
    <w:rsid w:val="00254FCD"/>
    <w:rsid w:val="0025734A"/>
    <w:rsid w:val="002619A4"/>
    <w:rsid w:val="00263A0B"/>
    <w:rsid w:val="00264B97"/>
    <w:rsid w:val="00267366"/>
    <w:rsid w:val="002728E1"/>
    <w:rsid w:val="002732C1"/>
    <w:rsid w:val="0028035A"/>
    <w:rsid w:val="0028192A"/>
    <w:rsid w:val="00282CF9"/>
    <w:rsid w:val="00283CB3"/>
    <w:rsid w:val="0029117E"/>
    <w:rsid w:val="00294BE4"/>
    <w:rsid w:val="002A380E"/>
    <w:rsid w:val="002B0276"/>
    <w:rsid w:val="002B36BD"/>
    <w:rsid w:val="002B44C3"/>
    <w:rsid w:val="002B5548"/>
    <w:rsid w:val="002B60C5"/>
    <w:rsid w:val="002C0BA1"/>
    <w:rsid w:val="002C1F38"/>
    <w:rsid w:val="002C32B5"/>
    <w:rsid w:val="002C3EA5"/>
    <w:rsid w:val="002C3F39"/>
    <w:rsid w:val="002C7E15"/>
    <w:rsid w:val="002D3902"/>
    <w:rsid w:val="002D5A11"/>
    <w:rsid w:val="002D5A72"/>
    <w:rsid w:val="002D62A1"/>
    <w:rsid w:val="002D727B"/>
    <w:rsid w:val="002E32C4"/>
    <w:rsid w:val="002E4FB8"/>
    <w:rsid w:val="002E5F91"/>
    <w:rsid w:val="002E705A"/>
    <w:rsid w:val="002E7201"/>
    <w:rsid w:val="002E79A8"/>
    <w:rsid w:val="00306610"/>
    <w:rsid w:val="00311D9A"/>
    <w:rsid w:val="0031300C"/>
    <w:rsid w:val="00316543"/>
    <w:rsid w:val="00321E9B"/>
    <w:rsid w:val="00322F63"/>
    <w:rsid w:val="00323EC7"/>
    <w:rsid w:val="003244FE"/>
    <w:rsid w:val="0032490F"/>
    <w:rsid w:val="00325EE7"/>
    <w:rsid w:val="00326DD1"/>
    <w:rsid w:val="003327C5"/>
    <w:rsid w:val="0034133C"/>
    <w:rsid w:val="003413E2"/>
    <w:rsid w:val="00343606"/>
    <w:rsid w:val="00344304"/>
    <w:rsid w:val="00344D88"/>
    <w:rsid w:val="003450B7"/>
    <w:rsid w:val="00351AC9"/>
    <w:rsid w:val="00352649"/>
    <w:rsid w:val="00354AA6"/>
    <w:rsid w:val="003555D0"/>
    <w:rsid w:val="00367592"/>
    <w:rsid w:val="0037051B"/>
    <w:rsid w:val="00371477"/>
    <w:rsid w:val="003715CC"/>
    <w:rsid w:val="00374D91"/>
    <w:rsid w:val="00377F53"/>
    <w:rsid w:val="00382CED"/>
    <w:rsid w:val="0038359C"/>
    <w:rsid w:val="0038677D"/>
    <w:rsid w:val="003867F3"/>
    <w:rsid w:val="00390E1A"/>
    <w:rsid w:val="003A3D0C"/>
    <w:rsid w:val="003A4380"/>
    <w:rsid w:val="003A5F50"/>
    <w:rsid w:val="003A6C3B"/>
    <w:rsid w:val="003C1074"/>
    <w:rsid w:val="003C4FAE"/>
    <w:rsid w:val="003D0FB2"/>
    <w:rsid w:val="003D14E5"/>
    <w:rsid w:val="003D5899"/>
    <w:rsid w:val="003D7C12"/>
    <w:rsid w:val="003E4659"/>
    <w:rsid w:val="003E62AB"/>
    <w:rsid w:val="003F06CE"/>
    <w:rsid w:val="003F546B"/>
    <w:rsid w:val="003F60F0"/>
    <w:rsid w:val="003F65AE"/>
    <w:rsid w:val="00401204"/>
    <w:rsid w:val="00403E16"/>
    <w:rsid w:val="004143B2"/>
    <w:rsid w:val="00415A74"/>
    <w:rsid w:val="00422EA3"/>
    <w:rsid w:val="00423C52"/>
    <w:rsid w:val="00426CEA"/>
    <w:rsid w:val="00435AAD"/>
    <w:rsid w:val="00442660"/>
    <w:rsid w:val="0044329D"/>
    <w:rsid w:val="0044460F"/>
    <w:rsid w:val="0045498D"/>
    <w:rsid w:val="00457823"/>
    <w:rsid w:val="00460186"/>
    <w:rsid w:val="00463D60"/>
    <w:rsid w:val="00464B25"/>
    <w:rsid w:val="0047046F"/>
    <w:rsid w:val="00471E24"/>
    <w:rsid w:val="0047290F"/>
    <w:rsid w:val="00474388"/>
    <w:rsid w:val="00482E4F"/>
    <w:rsid w:val="004854C6"/>
    <w:rsid w:val="00490873"/>
    <w:rsid w:val="00492EDA"/>
    <w:rsid w:val="004933BB"/>
    <w:rsid w:val="004955C8"/>
    <w:rsid w:val="00495FB2"/>
    <w:rsid w:val="00497C04"/>
    <w:rsid w:val="004A03F5"/>
    <w:rsid w:val="004B0775"/>
    <w:rsid w:val="004B078D"/>
    <w:rsid w:val="004C747A"/>
    <w:rsid w:val="004D29AF"/>
    <w:rsid w:val="004D6A06"/>
    <w:rsid w:val="004D6C34"/>
    <w:rsid w:val="004E1AA9"/>
    <w:rsid w:val="004E1C0E"/>
    <w:rsid w:val="004E4D60"/>
    <w:rsid w:val="004E602E"/>
    <w:rsid w:val="004F71F1"/>
    <w:rsid w:val="005012FD"/>
    <w:rsid w:val="00515088"/>
    <w:rsid w:val="00517FE4"/>
    <w:rsid w:val="005224A3"/>
    <w:rsid w:val="005229D6"/>
    <w:rsid w:val="005234B4"/>
    <w:rsid w:val="00523C04"/>
    <w:rsid w:val="0053278F"/>
    <w:rsid w:val="00534A1C"/>
    <w:rsid w:val="005427BD"/>
    <w:rsid w:val="0054345D"/>
    <w:rsid w:val="0054473D"/>
    <w:rsid w:val="00551578"/>
    <w:rsid w:val="00552879"/>
    <w:rsid w:val="00563D4A"/>
    <w:rsid w:val="005659C4"/>
    <w:rsid w:val="00575509"/>
    <w:rsid w:val="00575C61"/>
    <w:rsid w:val="00576925"/>
    <w:rsid w:val="00580377"/>
    <w:rsid w:val="00583DD2"/>
    <w:rsid w:val="005912CB"/>
    <w:rsid w:val="00592C6A"/>
    <w:rsid w:val="005A1457"/>
    <w:rsid w:val="005A2471"/>
    <w:rsid w:val="005A4EE6"/>
    <w:rsid w:val="005B635D"/>
    <w:rsid w:val="005C319B"/>
    <w:rsid w:val="005D468A"/>
    <w:rsid w:val="005D64D6"/>
    <w:rsid w:val="005E49BB"/>
    <w:rsid w:val="005E6C16"/>
    <w:rsid w:val="005E7078"/>
    <w:rsid w:val="005F14DB"/>
    <w:rsid w:val="005F2938"/>
    <w:rsid w:val="005F3C3C"/>
    <w:rsid w:val="005F4350"/>
    <w:rsid w:val="005F498D"/>
    <w:rsid w:val="005F6C6D"/>
    <w:rsid w:val="006054A3"/>
    <w:rsid w:val="0060640F"/>
    <w:rsid w:val="006072B0"/>
    <w:rsid w:val="006073FD"/>
    <w:rsid w:val="0061030B"/>
    <w:rsid w:val="0061110A"/>
    <w:rsid w:val="006203EA"/>
    <w:rsid w:val="006246A1"/>
    <w:rsid w:val="00625D8F"/>
    <w:rsid w:val="00626F77"/>
    <w:rsid w:val="006345A3"/>
    <w:rsid w:val="0063472B"/>
    <w:rsid w:val="0064105D"/>
    <w:rsid w:val="00641545"/>
    <w:rsid w:val="00642F69"/>
    <w:rsid w:val="00644E8A"/>
    <w:rsid w:val="00645E73"/>
    <w:rsid w:val="00650071"/>
    <w:rsid w:val="00651480"/>
    <w:rsid w:val="0065195F"/>
    <w:rsid w:val="00651D5E"/>
    <w:rsid w:val="00666F19"/>
    <w:rsid w:val="00674D42"/>
    <w:rsid w:val="00680D9E"/>
    <w:rsid w:val="00681D42"/>
    <w:rsid w:val="00694671"/>
    <w:rsid w:val="00694D91"/>
    <w:rsid w:val="00695CF8"/>
    <w:rsid w:val="006964B0"/>
    <w:rsid w:val="006970CE"/>
    <w:rsid w:val="00697923"/>
    <w:rsid w:val="006A2038"/>
    <w:rsid w:val="006B3A67"/>
    <w:rsid w:val="006B6FC1"/>
    <w:rsid w:val="006D283D"/>
    <w:rsid w:val="006D2D8A"/>
    <w:rsid w:val="006D5D88"/>
    <w:rsid w:val="006E142E"/>
    <w:rsid w:val="006E29FE"/>
    <w:rsid w:val="006E2D7F"/>
    <w:rsid w:val="006E6B84"/>
    <w:rsid w:val="006F2E3F"/>
    <w:rsid w:val="007126B0"/>
    <w:rsid w:val="00714370"/>
    <w:rsid w:val="00715BC7"/>
    <w:rsid w:val="0071624E"/>
    <w:rsid w:val="00723839"/>
    <w:rsid w:val="00724B7A"/>
    <w:rsid w:val="007258EE"/>
    <w:rsid w:val="00731DEF"/>
    <w:rsid w:val="007341B6"/>
    <w:rsid w:val="00735C55"/>
    <w:rsid w:val="00737264"/>
    <w:rsid w:val="007419A8"/>
    <w:rsid w:val="007428CD"/>
    <w:rsid w:val="00744BB0"/>
    <w:rsid w:val="007454F2"/>
    <w:rsid w:val="00745CC7"/>
    <w:rsid w:val="00747F94"/>
    <w:rsid w:val="00751DCD"/>
    <w:rsid w:val="00752CA9"/>
    <w:rsid w:val="00753673"/>
    <w:rsid w:val="00754B7C"/>
    <w:rsid w:val="00756D87"/>
    <w:rsid w:val="007726CD"/>
    <w:rsid w:val="007732B6"/>
    <w:rsid w:val="00782E8B"/>
    <w:rsid w:val="00784CC6"/>
    <w:rsid w:val="00790BE8"/>
    <w:rsid w:val="007973DE"/>
    <w:rsid w:val="007A33A8"/>
    <w:rsid w:val="007A3C71"/>
    <w:rsid w:val="007A59AF"/>
    <w:rsid w:val="007B4976"/>
    <w:rsid w:val="007B52B9"/>
    <w:rsid w:val="007B58AE"/>
    <w:rsid w:val="007C11F7"/>
    <w:rsid w:val="007C2027"/>
    <w:rsid w:val="007C695A"/>
    <w:rsid w:val="007D04A6"/>
    <w:rsid w:val="007D5995"/>
    <w:rsid w:val="007D714F"/>
    <w:rsid w:val="007D7B2A"/>
    <w:rsid w:val="007E15A0"/>
    <w:rsid w:val="007E1930"/>
    <w:rsid w:val="007E250A"/>
    <w:rsid w:val="007E5C5E"/>
    <w:rsid w:val="007F38A2"/>
    <w:rsid w:val="007F3EC1"/>
    <w:rsid w:val="007F5EBD"/>
    <w:rsid w:val="00803C8D"/>
    <w:rsid w:val="00804867"/>
    <w:rsid w:val="00805B1C"/>
    <w:rsid w:val="00811E65"/>
    <w:rsid w:val="00815368"/>
    <w:rsid w:val="00816E5B"/>
    <w:rsid w:val="0082176A"/>
    <w:rsid w:val="008224AD"/>
    <w:rsid w:val="00825CE5"/>
    <w:rsid w:val="00836E7B"/>
    <w:rsid w:val="00840EF3"/>
    <w:rsid w:val="00844CE9"/>
    <w:rsid w:val="00852D87"/>
    <w:rsid w:val="00854754"/>
    <w:rsid w:val="00857AFA"/>
    <w:rsid w:val="00863CD7"/>
    <w:rsid w:val="00867D31"/>
    <w:rsid w:val="0087541E"/>
    <w:rsid w:val="00875E47"/>
    <w:rsid w:val="008760B8"/>
    <w:rsid w:val="0087629E"/>
    <w:rsid w:val="00877B95"/>
    <w:rsid w:val="0088431C"/>
    <w:rsid w:val="0088556F"/>
    <w:rsid w:val="00886EEC"/>
    <w:rsid w:val="00894F29"/>
    <w:rsid w:val="00896B2C"/>
    <w:rsid w:val="008A1F5E"/>
    <w:rsid w:val="008B1974"/>
    <w:rsid w:val="008B2703"/>
    <w:rsid w:val="008B3442"/>
    <w:rsid w:val="008D1D7F"/>
    <w:rsid w:val="008D3A48"/>
    <w:rsid w:val="008E2131"/>
    <w:rsid w:val="008E2FEA"/>
    <w:rsid w:val="008E6D62"/>
    <w:rsid w:val="008F2002"/>
    <w:rsid w:val="008F3746"/>
    <w:rsid w:val="008F5298"/>
    <w:rsid w:val="008F7843"/>
    <w:rsid w:val="009070A6"/>
    <w:rsid w:val="00913AD8"/>
    <w:rsid w:val="00914B3F"/>
    <w:rsid w:val="00915389"/>
    <w:rsid w:val="0092615D"/>
    <w:rsid w:val="00930493"/>
    <w:rsid w:val="00932EC4"/>
    <w:rsid w:val="00936C66"/>
    <w:rsid w:val="0094009C"/>
    <w:rsid w:val="009418AB"/>
    <w:rsid w:val="009427E6"/>
    <w:rsid w:val="00943BA3"/>
    <w:rsid w:val="00946F5C"/>
    <w:rsid w:val="00950C4D"/>
    <w:rsid w:val="00951282"/>
    <w:rsid w:val="009535EA"/>
    <w:rsid w:val="0095454C"/>
    <w:rsid w:val="00972436"/>
    <w:rsid w:val="009738E7"/>
    <w:rsid w:val="009751BD"/>
    <w:rsid w:val="00995E2E"/>
    <w:rsid w:val="00997C62"/>
    <w:rsid w:val="009B030E"/>
    <w:rsid w:val="009B53B3"/>
    <w:rsid w:val="009C0A95"/>
    <w:rsid w:val="009C6B7E"/>
    <w:rsid w:val="009D26C6"/>
    <w:rsid w:val="009D31B5"/>
    <w:rsid w:val="009D3FD6"/>
    <w:rsid w:val="009D6EAE"/>
    <w:rsid w:val="009E1E01"/>
    <w:rsid w:val="009F3149"/>
    <w:rsid w:val="00A027A7"/>
    <w:rsid w:val="00A03927"/>
    <w:rsid w:val="00A06034"/>
    <w:rsid w:val="00A14D8A"/>
    <w:rsid w:val="00A17595"/>
    <w:rsid w:val="00A20488"/>
    <w:rsid w:val="00A214E4"/>
    <w:rsid w:val="00A21729"/>
    <w:rsid w:val="00A2332A"/>
    <w:rsid w:val="00A27015"/>
    <w:rsid w:val="00A2747D"/>
    <w:rsid w:val="00A27B81"/>
    <w:rsid w:val="00A328FE"/>
    <w:rsid w:val="00A36A14"/>
    <w:rsid w:val="00A461E1"/>
    <w:rsid w:val="00A46588"/>
    <w:rsid w:val="00A46CFB"/>
    <w:rsid w:val="00A5223C"/>
    <w:rsid w:val="00A53679"/>
    <w:rsid w:val="00A56C6C"/>
    <w:rsid w:val="00A65E9D"/>
    <w:rsid w:val="00A765A5"/>
    <w:rsid w:val="00A8184E"/>
    <w:rsid w:val="00A83D0F"/>
    <w:rsid w:val="00A83E90"/>
    <w:rsid w:val="00A903E6"/>
    <w:rsid w:val="00A904BC"/>
    <w:rsid w:val="00A942F4"/>
    <w:rsid w:val="00A97A80"/>
    <w:rsid w:val="00AA029A"/>
    <w:rsid w:val="00AA2421"/>
    <w:rsid w:val="00AA3FA4"/>
    <w:rsid w:val="00AA79AF"/>
    <w:rsid w:val="00AA7A50"/>
    <w:rsid w:val="00AB3E99"/>
    <w:rsid w:val="00AC3EB5"/>
    <w:rsid w:val="00AC5EFA"/>
    <w:rsid w:val="00AD2987"/>
    <w:rsid w:val="00AD6355"/>
    <w:rsid w:val="00AF6399"/>
    <w:rsid w:val="00AF6761"/>
    <w:rsid w:val="00B02DC7"/>
    <w:rsid w:val="00B03FB4"/>
    <w:rsid w:val="00B04035"/>
    <w:rsid w:val="00B05B48"/>
    <w:rsid w:val="00B103B0"/>
    <w:rsid w:val="00B10EAA"/>
    <w:rsid w:val="00B12017"/>
    <w:rsid w:val="00B13840"/>
    <w:rsid w:val="00B26B34"/>
    <w:rsid w:val="00B26D3A"/>
    <w:rsid w:val="00B3198A"/>
    <w:rsid w:val="00B40C25"/>
    <w:rsid w:val="00B46550"/>
    <w:rsid w:val="00B47489"/>
    <w:rsid w:val="00B5568C"/>
    <w:rsid w:val="00B602FA"/>
    <w:rsid w:val="00B61BB2"/>
    <w:rsid w:val="00B65294"/>
    <w:rsid w:val="00B70366"/>
    <w:rsid w:val="00B718F5"/>
    <w:rsid w:val="00B732B2"/>
    <w:rsid w:val="00B93352"/>
    <w:rsid w:val="00B96519"/>
    <w:rsid w:val="00BA5CDA"/>
    <w:rsid w:val="00BA6BDF"/>
    <w:rsid w:val="00BC0648"/>
    <w:rsid w:val="00BC27CE"/>
    <w:rsid w:val="00BD0DAA"/>
    <w:rsid w:val="00BD20C6"/>
    <w:rsid w:val="00BD32B9"/>
    <w:rsid w:val="00BD4B36"/>
    <w:rsid w:val="00BD541C"/>
    <w:rsid w:val="00BD6937"/>
    <w:rsid w:val="00BD6E3F"/>
    <w:rsid w:val="00BE0C2A"/>
    <w:rsid w:val="00BE2AF7"/>
    <w:rsid w:val="00BE2FC6"/>
    <w:rsid w:val="00C008B7"/>
    <w:rsid w:val="00C01CAB"/>
    <w:rsid w:val="00C04C17"/>
    <w:rsid w:val="00C11024"/>
    <w:rsid w:val="00C14A12"/>
    <w:rsid w:val="00C16412"/>
    <w:rsid w:val="00C21FD7"/>
    <w:rsid w:val="00C25485"/>
    <w:rsid w:val="00C32A6C"/>
    <w:rsid w:val="00C32FAA"/>
    <w:rsid w:val="00C411E3"/>
    <w:rsid w:val="00C47DD3"/>
    <w:rsid w:val="00C521E2"/>
    <w:rsid w:val="00C53D1C"/>
    <w:rsid w:val="00C626A4"/>
    <w:rsid w:val="00C62AFB"/>
    <w:rsid w:val="00C6420F"/>
    <w:rsid w:val="00C713A6"/>
    <w:rsid w:val="00C71CA6"/>
    <w:rsid w:val="00C760D2"/>
    <w:rsid w:val="00C761CA"/>
    <w:rsid w:val="00C77548"/>
    <w:rsid w:val="00C8080F"/>
    <w:rsid w:val="00C81737"/>
    <w:rsid w:val="00C820EC"/>
    <w:rsid w:val="00C84FA8"/>
    <w:rsid w:val="00C871BA"/>
    <w:rsid w:val="00C87BBE"/>
    <w:rsid w:val="00C909FC"/>
    <w:rsid w:val="00C936CC"/>
    <w:rsid w:val="00CA0221"/>
    <w:rsid w:val="00CB4A29"/>
    <w:rsid w:val="00CB4F57"/>
    <w:rsid w:val="00CB5B32"/>
    <w:rsid w:val="00CB6327"/>
    <w:rsid w:val="00CD27FE"/>
    <w:rsid w:val="00CD3AC3"/>
    <w:rsid w:val="00CD3EB4"/>
    <w:rsid w:val="00CD702C"/>
    <w:rsid w:val="00CF0F91"/>
    <w:rsid w:val="00CF3C30"/>
    <w:rsid w:val="00CF6164"/>
    <w:rsid w:val="00D013E9"/>
    <w:rsid w:val="00D01444"/>
    <w:rsid w:val="00D051AF"/>
    <w:rsid w:val="00D05821"/>
    <w:rsid w:val="00D10871"/>
    <w:rsid w:val="00D30BB8"/>
    <w:rsid w:val="00D32811"/>
    <w:rsid w:val="00D4116D"/>
    <w:rsid w:val="00D41A89"/>
    <w:rsid w:val="00D535DB"/>
    <w:rsid w:val="00D544DE"/>
    <w:rsid w:val="00D6342F"/>
    <w:rsid w:val="00D64401"/>
    <w:rsid w:val="00D74B3B"/>
    <w:rsid w:val="00D80CE0"/>
    <w:rsid w:val="00D82318"/>
    <w:rsid w:val="00D82846"/>
    <w:rsid w:val="00D841A8"/>
    <w:rsid w:val="00D855D6"/>
    <w:rsid w:val="00D93693"/>
    <w:rsid w:val="00DA2681"/>
    <w:rsid w:val="00DA27E2"/>
    <w:rsid w:val="00DA2DE7"/>
    <w:rsid w:val="00DA3E19"/>
    <w:rsid w:val="00DA6F26"/>
    <w:rsid w:val="00DB04F7"/>
    <w:rsid w:val="00DB23FC"/>
    <w:rsid w:val="00DB259D"/>
    <w:rsid w:val="00DB5E76"/>
    <w:rsid w:val="00DB61B7"/>
    <w:rsid w:val="00DC23FA"/>
    <w:rsid w:val="00DC2760"/>
    <w:rsid w:val="00DC7167"/>
    <w:rsid w:val="00DD1060"/>
    <w:rsid w:val="00DD134A"/>
    <w:rsid w:val="00DD286B"/>
    <w:rsid w:val="00DD3EA3"/>
    <w:rsid w:val="00DE1985"/>
    <w:rsid w:val="00DE216B"/>
    <w:rsid w:val="00DE33C0"/>
    <w:rsid w:val="00DF093D"/>
    <w:rsid w:val="00DF1947"/>
    <w:rsid w:val="00DF3BBC"/>
    <w:rsid w:val="00DF4216"/>
    <w:rsid w:val="00DF4823"/>
    <w:rsid w:val="00DF5536"/>
    <w:rsid w:val="00E073AC"/>
    <w:rsid w:val="00E102EE"/>
    <w:rsid w:val="00E10D66"/>
    <w:rsid w:val="00E21AD3"/>
    <w:rsid w:val="00E24D90"/>
    <w:rsid w:val="00E36B1D"/>
    <w:rsid w:val="00E4000D"/>
    <w:rsid w:val="00E4177B"/>
    <w:rsid w:val="00E42D71"/>
    <w:rsid w:val="00E42FBA"/>
    <w:rsid w:val="00E54AF3"/>
    <w:rsid w:val="00E56C8E"/>
    <w:rsid w:val="00E6106F"/>
    <w:rsid w:val="00E61643"/>
    <w:rsid w:val="00E64337"/>
    <w:rsid w:val="00E6508B"/>
    <w:rsid w:val="00E6529F"/>
    <w:rsid w:val="00E72AA5"/>
    <w:rsid w:val="00E7515E"/>
    <w:rsid w:val="00E75F99"/>
    <w:rsid w:val="00E91792"/>
    <w:rsid w:val="00E97326"/>
    <w:rsid w:val="00EA2C21"/>
    <w:rsid w:val="00EA66D0"/>
    <w:rsid w:val="00EA71E1"/>
    <w:rsid w:val="00EA7608"/>
    <w:rsid w:val="00EB00DB"/>
    <w:rsid w:val="00EB0D98"/>
    <w:rsid w:val="00EB67EC"/>
    <w:rsid w:val="00EB6ED1"/>
    <w:rsid w:val="00EC4DB0"/>
    <w:rsid w:val="00ED01AA"/>
    <w:rsid w:val="00EE5853"/>
    <w:rsid w:val="00EE64C1"/>
    <w:rsid w:val="00EF11BE"/>
    <w:rsid w:val="00EF21DF"/>
    <w:rsid w:val="00EF31B4"/>
    <w:rsid w:val="00EF3BD0"/>
    <w:rsid w:val="00EF5FE3"/>
    <w:rsid w:val="00F03D02"/>
    <w:rsid w:val="00F05480"/>
    <w:rsid w:val="00F31A46"/>
    <w:rsid w:val="00F34573"/>
    <w:rsid w:val="00F37A04"/>
    <w:rsid w:val="00F40968"/>
    <w:rsid w:val="00F42FD8"/>
    <w:rsid w:val="00F5193C"/>
    <w:rsid w:val="00F54CDA"/>
    <w:rsid w:val="00F619A6"/>
    <w:rsid w:val="00F626EE"/>
    <w:rsid w:val="00F654C5"/>
    <w:rsid w:val="00F66718"/>
    <w:rsid w:val="00F70A8D"/>
    <w:rsid w:val="00F741D8"/>
    <w:rsid w:val="00F8149A"/>
    <w:rsid w:val="00F86D0C"/>
    <w:rsid w:val="00F9396F"/>
    <w:rsid w:val="00F93B33"/>
    <w:rsid w:val="00FB2757"/>
    <w:rsid w:val="00FB5E19"/>
    <w:rsid w:val="00FC30F0"/>
    <w:rsid w:val="00FD2682"/>
    <w:rsid w:val="00FD3591"/>
    <w:rsid w:val="00FE04A5"/>
    <w:rsid w:val="00FE2D33"/>
    <w:rsid w:val="00FE5972"/>
    <w:rsid w:val="00FF227E"/>
    <w:rsid w:val="00FF6614"/>
    <w:rsid w:val="00FF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paragraph" w:styleId="Title">
    <w:name w:val="Title"/>
    <w:basedOn w:val="Normal"/>
    <w:link w:val="TitleChar"/>
    <w:qFormat/>
    <w:rsid w:val="00EF5FE3"/>
    <w:pPr>
      <w:tabs>
        <w:tab w:val="left" w:pos="720"/>
      </w:tabs>
      <w:ind w:left="1440" w:hanging="1440"/>
      <w:jc w:val="center"/>
    </w:pPr>
    <w:rPr>
      <w:rFonts w:ascii="Garamond" w:hAnsi="Garamond"/>
      <w:b/>
      <w:sz w:val="28"/>
    </w:rPr>
  </w:style>
  <w:style w:type="character" w:customStyle="1" w:styleId="TitleChar">
    <w:name w:val="Title Char"/>
    <w:basedOn w:val="DefaultParagraphFont"/>
    <w:link w:val="Title"/>
    <w:rsid w:val="00EF5FE3"/>
    <w:rPr>
      <w:rFonts w:ascii="Garamond" w:hAnsi="Garamond"/>
      <w:b/>
      <w:sz w:val="28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29D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29D6"/>
    <w:rPr>
      <w:rFonts w:ascii="Consolas" w:eastAsiaTheme="minorHAnsi" w:hAnsi="Consolas" w:cstheme="minorBidi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61CF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B5A53-9BD7-4A62-8EF8-6828180D6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902</Words>
  <Characters>4639</Characters>
  <Application>Microsoft Office Word</Application>
  <DocSecurity>0</DocSecurity>
  <Lines>38</Lines>
  <Paragraphs>11</Paragraphs>
  <ScaleCrop>false</ScaleCrop>
  <Company/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2014-04-17T16:55:00Z</dcterms:created>
  <dcterms:modified xsi:type="dcterms:W3CDTF">2014-04-17T16:56:00Z</dcterms:modified>
</cp:coreProperties>
</file>