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48" w:rsidRPr="00E4514C" w:rsidRDefault="00525C48" w:rsidP="00C60C36">
      <w:pPr>
        <w:widowControl w:val="0"/>
        <w:tabs>
          <w:tab w:val="left" w:pos="0"/>
        </w:tabs>
        <w:autoSpaceDE w:val="0"/>
        <w:autoSpaceDN w:val="0"/>
        <w:adjustRightInd w:val="0"/>
        <w:jc w:val="center"/>
        <w:rPr>
          <w:rFonts w:ascii="Garamond" w:hAnsi="Garamond"/>
          <w:bCs/>
        </w:rPr>
      </w:pPr>
      <w:r w:rsidRPr="00E4514C">
        <w:rPr>
          <w:rFonts w:ascii="Garamond" w:hAnsi="Garamond"/>
          <w:bCs/>
        </w:rPr>
        <w:t>Minutes</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Texas Bond Review Board</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Planning Session</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Tuesday</w:t>
      </w:r>
      <w:r w:rsidR="007C1ABF">
        <w:rPr>
          <w:rFonts w:ascii="Garamond" w:hAnsi="Garamond"/>
          <w:bCs/>
        </w:rPr>
        <w:t>,</w:t>
      </w:r>
      <w:r w:rsidRPr="00E4514C">
        <w:rPr>
          <w:rFonts w:ascii="Garamond" w:hAnsi="Garamond"/>
          <w:bCs/>
        </w:rPr>
        <w:t xml:space="preserve"> </w:t>
      </w:r>
      <w:r w:rsidR="000B0FCF" w:rsidRPr="00E4514C">
        <w:rPr>
          <w:rFonts w:ascii="Garamond" w:hAnsi="Garamond"/>
          <w:bCs/>
        </w:rPr>
        <w:t>March</w:t>
      </w:r>
      <w:r w:rsidRPr="00E4514C">
        <w:rPr>
          <w:rFonts w:ascii="Garamond" w:hAnsi="Garamond"/>
          <w:bCs/>
        </w:rPr>
        <w:t xml:space="preserve"> </w:t>
      </w:r>
      <w:r w:rsidR="000B0FCF" w:rsidRPr="00E4514C">
        <w:rPr>
          <w:rFonts w:ascii="Garamond" w:hAnsi="Garamond"/>
          <w:bCs/>
        </w:rPr>
        <w:t>12</w:t>
      </w:r>
      <w:r w:rsidRPr="00E4514C">
        <w:rPr>
          <w:rFonts w:ascii="Garamond" w:hAnsi="Garamond"/>
          <w:bCs/>
        </w:rPr>
        <w:t>, 2013, 10:00 a.m.</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R. E. Johnson Building, Central Conference Room</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1501 N. Congress Ave.</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Austin, TX 78701</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
          <w:bCs/>
        </w:rPr>
      </w:pPr>
    </w:p>
    <w:p w:rsidR="00B70366" w:rsidRPr="00E4514C" w:rsidRDefault="00B70366" w:rsidP="00C028F9">
      <w:pPr>
        <w:widowControl w:val="0"/>
        <w:tabs>
          <w:tab w:val="left" w:pos="1170"/>
        </w:tabs>
        <w:autoSpaceDE w:val="0"/>
        <w:autoSpaceDN w:val="0"/>
        <w:adjustRightInd w:val="0"/>
        <w:rPr>
          <w:rFonts w:ascii="Garamond" w:hAnsi="Garamond"/>
        </w:rPr>
      </w:pPr>
    </w:p>
    <w:p w:rsidR="00525C48" w:rsidRPr="00E4514C" w:rsidRDefault="00525C48" w:rsidP="00525C48">
      <w:pPr>
        <w:widowControl w:val="0"/>
        <w:autoSpaceDE w:val="0"/>
        <w:autoSpaceDN w:val="0"/>
        <w:adjustRightInd w:val="0"/>
        <w:jc w:val="both"/>
        <w:rPr>
          <w:rFonts w:ascii="Garamond" w:hAnsi="Garamond"/>
          <w:bCs/>
        </w:rPr>
      </w:pPr>
      <w:r w:rsidRPr="00E4514C">
        <w:rPr>
          <w:rFonts w:ascii="Garamond" w:hAnsi="Garamond"/>
          <w:bCs/>
        </w:rPr>
        <w:t>The Texas Bond Review Board (BRB) convened in a planning s</w:t>
      </w:r>
      <w:r w:rsidR="005568E0" w:rsidRPr="00E4514C">
        <w:rPr>
          <w:rFonts w:ascii="Garamond" w:hAnsi="Garamond"/>
          <w:bCs/>
        </w:rPr>
        <w:t xml:space="preserve">ession </w:t>
      </w:r>
      <w:r w:rsidR="00A1726C" w:rsidRPr="00E4514C">
        <w:rPr>
          <w:rFonts w:ascii="Garamond" w:hAnsi="Garamond"/>
          <w:bCs/>
        </w:rPr>
        <w:t>at 10:00 a.m., T</w:t>
      </w:r>
      <w:r w:rsidR="000B0FCF" w:rsidRPr="00E4514C">
        <w:rPr>
          <w:rFonts w:ascii="Garamond" w:hAnsi="Garamond"/>
          <w:bCs/>
        </w:rPr>
        <w:t>uesday</w:t>
      </w:r>
      <w:r w:rsidR="007C1ABF">
        <w:rPr>
          <w:rFonts w:ascii="Garamond" w:hAnsi="Garamond"/>
          <w:bCs/>
        </w:rPr>
        <w:t>,</w:t>
      </w:r>
      <w:r w:rsidR="000B0FCF" w:rsidRPr="00E4514C">
        <w:rPr>
          <w:rFonts w:ascii="Garamond" w:hAnsi="Garamond"/>
          <w:bCs/>
        </w:rPr>
        <w:t xml:space="preserve"> March</w:t>
      </w:r>
      <w:r w:rsidRPr="00E4514C">
        <w:rPr>
          <w:rFonts w:ascii="Garamond" w:hAnsi="Garamond"/>
          <w:bCs/>
        </w:rPr>
        <w:t xml:space="preserve"> </w:t>
      </w:r>
      <w:r w:rsidR="000B0FCF" w:rsidRPr="00E4514C">
        <w:rPr>
          <w:rFonts w:ascii="Garamond" w:hAnsi="Garamond"/>
          <w:bCs/>
        </w:rPr>
        <w:t>13</w:t>
      </w:r>
      <w:r w:rsidRPr="00E4514C">
        <w:rPr>
          <w:rFonts w:ascii="Garamond" w:hAnsi="Garamond"/>
          <w:bCs/>
        </w:rPr>
        <w:t>, 201</w:t>
      </w:r>
      <w:r w:rsidR="00E241C9" w:rsidRPr="00E4514C">
        <w:rPr>
          <w:rFonts w:ascii="Garamond" w:hAnsi="Garamond"/>
          <w:bCs/>
        </w:rPr>
        <w:t>3</w:t>
      </w:r>
      <w:r w:rsidRPr="00E4514C">
        <w:rPr>
          <w:rFonts w:ascii="Garamond" w:hAnsi="Garamond"/>
          <w:bCs/>
        </w:rPr>
        <w:t xml:space="preserve"> in th</w:t>
      </w:r>
      <w:r w:rsidR="00A1726C" w:rsidRPr="00E4514C">
        <w:rPr>
          <w:rFonts w:ascii="Garamond" w:hAnsi="Garamond"/>
          <w:bCs/>
        </w:rPr>
        <w:t xml:space="preserve">e </w:t>
      </w:r>
      <w:r w:rsidR="007F43B4" w:rsidRPr="00E4514C">
        <w:rPr>
          <w:rFonts w:ascii="Garamond" w:hAnsi="Garamond"/>
          <w:bCs/>
        </w:rPr>
        <w:t>R.E. Johnson Building, Central Conference Room</w:t>
      </w:r>
      <w:r w:rsidRPr="00E4514C">
        <w:rPr>
          <w:rFonts w:ascii="Garamond" w:hAnsi="Garamond"/>
          <w:bCs/>
        </w:rPr>
        <w:t xml:space="preserve"> in Austin, Texas. Present were Ed Robertson, Chair and Alternate for Governor Rick Perry; Kenneth Besserman, Alternat</w:t>
      </w:r>
      <w:r w:rsidR="00203471" w:rsidRPr="00E4514C">
        <w:rPr>
          <w:rFonts w:ascii="Garamond" w:hAnsi="Garamond"/>
          <w:bCs/>
        </w:rPr>
        <w:t>e for Comptroller Susan Co</w:t>
      </w:r>
      <w:r w:rsidR="00A1726C" w:rsidRPr="00E4514C">
        <w:rPr>
          <w:rFonts w:ascii="Garamond" w:hAnsi="Garamond"/>
          <w:bCs/>
        </w:rPr>
        <w:t xml:space="preserve">mbs; </w:t>
      </w:r>
      <w:r w:rsidR="007F43B4" w:rsidRPr="00E4514C">
        <w:rPr>
          <w:rFonts w:ascii="Garamond" w:hAnsi="Garamond"/>
          <w:bCs/>
        </w:rPr>
        <w:t>Jamie Dudensing</w:t>
      </w:r>
      <w:r w:rsidRPr="00E4514C">
        <w:rPr>
          <w:rFonts w:ascii="Garamond" w:hAnsi="Garamond"/>
          <w:bCs/>
        </w:rPr>
        <w:t>, Alternate for Lieutenant Governor Dav</w:t>
      </w:r>
      <w:r w:rsidR="000B0FCF" w:rsidRPr="00E4514C">
        <w:rPr>
          <w:rFonts w:ascii="Garamond" w:hAnsi="Garamond"/>
          <w:bCs/>
        </w:rPr>
        <w:t>id Dewhurst; and Frank Battle</w:t>
      </w:r>
      <w:r w:rsidRPr="00E4514C">
        <w:rPr>
          <w:rFonts w:ascii="Garamond" w:hAnsi="Garamond"/>
          <w:bCs/>
        </w:rPr>
        <w:t>, Alternate for Speaker Joe Straus. Also in attendance were Stephanie Leibe with the Office of the Attorney General, Bond Finance Office staff members and others.</w:t>
      </w:r>
    </w:p>
    <w:p w:rsidR="004D6A06" w:rsidRPr="00E4514C" w:rsidRDefault="004D6A06" w:rsidP="004D6A06">
      <w:pPr>
        <w:widowControl w:val="0"/>
        <w:autoSpaceDE w:val="0"/>
        <w:autoSpaceDN w:val="0"/>
        <w:adjustRightInd w:val="0"/>
        <w:rPr>
          <w:rFonts w:ascii="Garamond" w:hAnsi="Garamond"/>
          <w:bCs/>
        </w:rPr>
      </w:pPr>
    </w:p>
    <w:p w:rsidR="00215157" w:rsidRPr="00E4514C" w:rsidRDefault="005F2938" w:rsidP="00752CA9">
      <w:pPr>
        <w:widowControl w:val="0"/>
        <w:numPr>
          <w:ilvl w:val="0"/>
          <w:numId w:val="21"/>
        </w:numPr>
        <w:autoSpaceDE w:val="0"/>
        <w:autoSpaceDN w:val="0"/>
        <w:adjustRightInd w:val="0"/>
        <w:jc w:val="both"/>
        <w:rPr>
          <w:rFonts w:ascii="Garamond" w:hAnsi="Garamond"/>
          <w:b/>
        </w:rPr>
      </w:pPr>
      <w:r w:rsidRPr="00E4514C">
        <w:rPr>
          <w:rFonts w:ascii="Garamond" w:hAnsi="Garamond"/>
          <w:b/>
          <w:bCs/>
        </w:rPr>
        <w:t>Call to Order</w:t>
      </w:r>
    </w:p>
    <w:p w:rsidR="009F3149" w:rsidRPr="00E4514C" w:rsidRDefault="009F3149" w:rsidP="009B53B3">
      <w:pPr>
        <w:pStyle w:val="ListParagraph"/>
        <w:ind w:left="0"/>
        <w:rPr>
          <w:rFonts w:ascii="Garamond" w:hAnsi="Garamond"/>
        </w:rPr>
      </w:pPr>
    </w:p>
    <w:p w:rsidR="00525C48" w:rsidRPr="00E4514C" w:rsidRDefault="005568E0" w:rsidP="00E77FA7">
      <w:pPr>
        <w:pStyle w:val="ListParagraph"/>
        <w:jc w:val="both"/>
        <w:rPr>
          <w:rFonts w:ascii="Garamond" w:hAnsi="Garamond"/>
          <w:b/>
        </w:rPr>
      </w:pPr>
      <w:r w:rsidRPr="00E4514C">
        <w:rPr>
          <w:rFonts w:ascii="Garamond" w:hAnsi="Garamond"/>
        </w:rPr>
        <w:t>Bob Kline</w:t>
      </w:r>
      <w:r w:rsidR="00525C48" w:rsidRPr="00E4514C">
        <w:rPr>
          <w:rFonts w:ascii="Garamond" w:hAnsi="Garamond"/>
        </w:rPr>
        <w:t>,</w:t>
      </w:r>
      <w:r w:rsidRPr="00E4514C">
        <w:rPr>
          <w:rFonts w:ascii="Garamond" w:hAnsi="Garamond"/>
        </w:rPr>
        <w:t xml:space="preserve"> Executive Director, </w:t>
      </w:r>
      <w:r w:rsidR="00525C48" w:rsidRPr="00E4514C">
        <w:rPr>
          <w:rFonts w:ascii="Garamond" w:hAnsi="Garamond"/>
        </w:rPr>
        <w:t>called the meeting to order at 10:0</w:t>
      </w:r>
      <w:r w:rsidR="000B0FCF" w:rsidRPr="00E4514C">
        <w:rPr>
          <w:rFonts w:ascii="Garamond" w:hAnsi="Garamond"/>
        </w:rPr>
        <w:t>7</w:t>
      </w:r>
      <w:r w:rsidR="00525C48" w:rsidRPr="00E4514C">
        <w:rPr>
          <w:rFonts w:ascii="Garamond" w:hAnsi="Garamond"/>
        </w:rPr>
        <w:t xml:space="preserve"> a.m. He announced that this was a planning meeting of Board staff to receive and discuss information relative to the applications before the Board. No votes would be taken. </w:t>
      </w:r>
      <w:r w:rsidR="006324F4" w:rsidRPr="00E4514C">
        <w:rPr>
          <w:rFonts w:ascii="Garamond" w:hAnsi="Garamond"/>
        </w:rPr>
        <w:t>A</w:t>
      </w:r>
      <w:r w:rsidR="00525C48" w:rsidRPr="00E4514C">
        <w:rPr>
          <w:rFonts w:ascii="Garamond" w:hAnsi="Garamond"/>
        </w:rPr>
        <w:t xml:space="preserve"> quorum</w:t>
      </w:r>
      <w:r w:rsidR="006324F4" w:rsidRPr="00E4514C">
        <w:rPr>
          <w:rFonts w:ascii="Garamond" w:hAnsi="Garamond"/>
        </w:rPr>
        <w:t xml:space="preserve"> was present</w:t>
      </w:r>
      <w:r w:rsidR="00525C48" w:rsidRPr="00E4514C">
        <w:rPr>
          <w:rFonts w:ascii="Garamond" w:hAnsi="Garamond"/>
          <w:b/>
        </w:rPr>
        <w:t>.</w:t>
      </w:r>
    </w:p>
    <w:p w:rsidR="00525C48" w:rsidRPr="00E4514C" w:rsidRDefault="00525C48" w:rsidP="009B53B3">
      <w:pPr>
        <w:pStyle w:val="ListParagraph"/>
        <w:ind w:left="0"/>
        <w:rPr>
          <w:rFonts w:ascii="Garamond" w:hAnsi="Garamond"/>
        </w:rPr>
      </w:pPr>
    </w:p>
    <w:p w:rsidR="006839C7" w:rsidRPr="00E4514C" w:rsidRDefault="006839C7" w:rsidP="006839C7">
      <w:pPr>
        <w:widowControl w:val="0"/>
        <w:numPr>
          <w:ilvl w:val="0"/>
          <w:numId w:val="21"/>
        </w:numPr>
        <w:autoSpaceDE w:val="0"/>
        <w:autoSpaceDN w:val="0"/>
        <w:adjustRightInd w:val="0"/>
        <w:jc w:val="both"/>
        <w:rPr>
          <w:rFonts w:ascii="Garamond" w:hAnsi="Garamond"/>
          <w:b/>
        </w:rPr>
      </w:pPr>
      <w:r w:rsidRPr="00E4514C">
        <w:rPr>
          <w:rFonts w:ascii="Garamond" w:hAnsi="Garamond"/>
          <w:b/>
        </w:rPr>
        <w:t xml:space="preserve">Texas Water Development Board Debt Reclassification from Not-Self Supporting to Self Supporting for the State Participation Program Bonds Series 2010C </w:t>
      </w:r>
    </w:p>
    <w:p w:rsidR="006839C7" w:rsidRPr="00E4514C" w:rsidRDefault="006839C7" w:rsidP="006839C7">
      <w:pPr>
        <w:widowControl w:val="0"/>
        <w:autoSpaceDE w:val="0"/>
        <w:autoSpaceDN w:val="0"/>
        <w:adjustRightInd w:val="0"/>
        <w:jc w:val="both"/>
        <w:rPr>
          <w:rFonts w:ascii="Garamond" w:hAnsi="Garamond"/>
          <w:b/>
        </w:rPr>
      </w:pPr>
    </w:p>
    <w:p w:rsidR="006839C7" w:rsidRPr="00E4514C" w:rsidRDefault="007C1ABF" w:rsidP="00E4514C">
      <w:pPr>
        <w:pStyle w:val="ListParagraph"/>
        <w:jc w:val="both"/>
        <w:rPr>
          <w:rFonts w:ascii="Garamond" w:hAnsi="Garamond"/>
        </w:rPr>
      </w:pPr>
      <w:r>
        <w:rPr>
          <w:rFonts w:ascii="Garamond" w:hAnsi="Garamond"/>
        </w:rPr>
        <w:t xml:space="preserve">The </w:t>
      </w:r>
      <w:r w:rsidRPr="00E4514C">
        <w:rPr>
          <w:rFonts w:ascii="Garamond" w:hAnsi="Garamond"/>
        </w:rPr>
        <w:t xml:space="preserve">TWDB </w:t>
      </w:r>
      <w:r>
        <w:rPr>
          <w:rFonts w:ascii="Garamond" w:hAnsi="Garamond"/>
        </w:rPr>
        <w:t>r</w:t>
      </w:r>
      <w:r w:rsidR="006839C7" w:rsidRPr="00E4514C">
        <w:rPr>
          <w:rFonts w:ascii="Garamond" w:hAnsi="Garamond"/>
        </w:rPr>
        <w:t>epresentative present was Piper Montemayor, Debt Portfolio Manager</w:t>
      </w:r>
      <w:r w:rsidR="001A1812" w:rsidRPr="00E4514C">
        <w:rPr>
          <w:rFonts w:ascii="Garamond" w:hAnsi="Garamond"/>
        </w:rPr>
        <w:t>.</w:t>
      </w:r>
    </w:p>
    <w:p w:rsidR="006839C7" w:rsidRPr="00E4514C" w:rsidRDefault="006839C7" w:rsidP="006839C7">
      <w:pPr>
        <w:pStyle w:val="ListParagraph"/>
        <w:rPr>
          <w:rFonts w:ascii="Garamond" w:hAnsi="Garamond"/>
        </w:rPr>
      </w:pPr>
    </w:p>
    <w:p w:rsidR="009F541E" w:rsidRPr="00E4514C" w:rsidRDefault="009F541E" w:rsidP="009F541E">
      <w:pPr>
        <w:pStyle w:val="Title"/>
        <w:ind w:left="720"/>
        <w:jc w:val="both"/>
        <w:rPr>
          <w:rFonts w:ascii="Garamond" w:hAnsi="Garamond"/>
          <w:b w:val="0"/>
          <w:szCs w:val="24"/>
        </w:rPr>
      </w:pPr>
      <w:r w:rsidRPr="00E4514C">
        <w:rPr>
          <w:rFonts w:ascii="Garamond" w:hAnsi="Garamond"/>
          <w:b w:val="0"/>
          <w:szCs w:val="24"/>
        </w:rPr>
        <w:t>The TWDB seeks to reclassify its State of Texas Water Financial Assistance Refunding Bonds Series 2010C under the SPP, of which $35,080,000 in par amount is outstanding, from not self-supporting to self-supporting</w:t>
      </w:r>
      <w:r w:rsidR="007C1ABF">
        <w:rPr>
          <w:rFonts w:ascii="Garamond" w:hAnsi="Garamond"/>
          <w:b w:val="0"/>
          <w:szCs w:val="24"/>
        </w:rPr>
        <w:t xml:space="preserve"> debt</w:t>
      </w:r>
      <w:r w:rsidRPr="00E4514C">
        <w:rPr>
          <w:rFonts w:ascii="Garamond" w:hAnsi="Garamond"/>
          <w:b w:val="0"/>
          <w:szCs w:val="24"/>
        </w:rPr>
        <w:t xml:space="preserve">. </w:t>
      </w:r>
    </w:p>
    <w:p w:rsidR="006839C7" w:rsidRPr="00E4514C" w:rsidRDefault="006839C7" w:rsidP="009F541E">
      <w:pPr>
        <w:pStyle w:val="ListParagraph"/>
        <w:rPr>
          <w:rFonts w:ascii="Garamond" w:hAnsi="Garamond"/>
        </w:rPr>
      </w:pPr>
    </w:p>
    <w:p w:rsidR="009F541E" w:rsidRPr="00E4514C" w:rsidRDefault="009F541E" w:rsidP="009F541E">
      <w:pPr>
        <w:ind w:left="720"/>
        <w:jc w:val="both"/>
        <w:rPr>
          <w:rFonts w:ascii="Garamond" w:hAnsi="Garamond"/>
          <w:noProof/>
        </w:rPr>
      </w:pPr>
      <w:r w:rsidRPr="00E4514C">
        <w:rPr>
          <w:rFonts w:ascii="Garamond" w:hAnsi="Garamond"/>
        </w:rPr>
        <w:t xml:space="preserve">The subject reclassification is permitted pursuant to Texas Constitution, Article III, Section 49-j which allows for debt included in the CDL calculation to be removed if: </w:t>
      </w:r>
      <w:r w:rsidRPr="00E4514C">
        <w:rPr>
          <w:rFonts w:ascii="Garamond" w:hAnsi="Garamond"/>
          <w:noProof/>
        </w:rPr>
        <w:t xml:space="preserve">(1) the bonds or agreements are backed by insurance or another form of guarantee that ensures payment from a source other than general revenue; or (2) the issuer demonstrates to the satisfaction of the BRB or its successor designated by law that the bonds no longer require payment from general revenue and the BRB so certifies to the Legislative Budget Board or its successor designated by law. </w:t>
      </w:r>
    </w:p>
    <w:p w:rsidR="009F541E" w:rsidRPr="00E4514C" w:rsidRDefault="009F541E" w:rsidP="009F541E">
      <w:pPr>
        <w:pStyle w:val="ListParagraph"/>
        <w:rPr>
          <w:rFonts w:ascii="Garamond" w:hAnsi="Garamond"/>
        </w:rPr>
      </w:pPr>
    </w:p>
    <w:p w:rsidR="009F541E" w:rsidRPr="00E4514C" w:rsidRDefault="009F541E" w:rsidP="009F541E">
      <w:pPr>
        <w:pStyle w:val="BodyText"/>
        <w:ind w:left="720"/>
        <w:rPr>
          <w:rFonts w:ascii="Garamond" w:hAnsi="Garamond"/>
          <w:szCs w:val="24"/>
        </w:rPr>
      </w:pPr>
      <w:r w:rsidRPr="00E4514C">
        <w:rPr>
          <w:rFonts w:ascii="Garamond" w:hAnsi="Garamond"/>
          <w:szCs w:val="24"/>
        </w:rPr>
        <w:t xml:space="preserve">On February 1, 2013 Melanie Callahan, Executive Administrator of the TWDB certified that the currently outstanding SPP Series 2010C debt is self-supporting. </w:t>
      </w:r>
    </w:p>
    <w:p w:rsidR="009F541E" w:rsidRPr="00E4514C" w:rsidRDefault="009F541E" w:rsidP="009F541E">
      <w:pPr>
        <w:pStyle w:val="BodyText"/>
        <w:ind w:left="720"/>
        <w:rPr>
          <w:rFonts w:ascii="Garamond" w:hAnsi="Garamond"/>
          <w:szCs w:val="24"/>
        </w:rPr>
      </w:pPr>
    </w:p>
    <w:p w:rsidR="009F541E" w:rsidRPr="00E4514C" w:rsidRDefault="009F541E" w:rsidP="009F541E">
      <w:pPr>
        <w:pStyle w:val="StyleJustified1"/>
        <w:spacing w:after="0"/>
        <w:ind w:left="720"/>
        <w:rPr>
          <w:rFonts w:ascii="Garamond" w:hAnsi="Garamond"/>
          <w:szCs w:val="24"/>
        </w:rPr>
      </w:pPr>
      <w:r w:rsidRPr="00E4514C">
        <w:rPr>
          <w:rFonts w:ascii="Garamond" w:hAnsi="Garamond"/>
          <w:szCs w:val="24"/>
        </w:rPr>
        <w:t xml:space="preserve">The bonds are general obligations of the State of Texas and are secured by the state’s full faith and credit. </w:t>
      </w:r>
    </w:p>
    <w:p w:rsidR="006839C7" w:rsidRPr="00E4514C" w:rsidRDefault="006839C7" w:rsidP="006839C7">
      <w:pPr>
        <w:pStyle w:val="ListParagraph"/>
        <w:rPr>
          <w:rFonts w:ascii="Garamond" w:hAnsi="Garamond"/>
          <w:b/>
        </w:rPr>
      </w:pPr>
    </w:p>
    <w:p w:rsidR="006839C7" w:rsidRPr="00E4514C" w:rsidRDefault="006839C7" w:rsidP="006839C7">
      <w:pPr>
        <w:numPr>
          <w:ilvl w:val="0"/>
          <w:numId w:val="21"/>
        </w:numPr>
        <w:jc w:val="both"/>
        <w:rPr>
          <w:rFonts w:ascii="Garamond" w:hAnsi="Garamond"/>
          <w:b/>
        </w:rPr>
      </w:pPr>
      <w:r w:rsidRPr="00E4514C">
        <w:rPr>
          <w:rFonts w:ascii="Garamond" w:hAnsi="Garamond"/>
          <w:b/>
        </w:rPr>
        <w:t>Texas Department of Housing and Community Affairs The Waters at Willow Run Multifamily Housing Revenue Bonds Series 2013</w:t>
      </w:r>
    </w:p>
    <w:p w:rsidR="006839C7" w:rsidRPr="00E4514C" w:rsidRDefault="006839C7" w:rsidP="006839C7">
      <w:pPr>
        <w:jc w:val="both"/>
        <w:rPr>
          <w:rFonts w:ascii="Garamond" w:hAnsi="Garamond"/>
          <w:b/>
        </w:rPr>
      </w:pPr>
    </w:p>
    <w:p w:rsidR="00BC0177" w:rsidRPr="00E4514C" w:rsidRDefault="009F541E" w:rsidP="00BC0177">
      <w:pPr>
        <w:ind w:left="720"/>
        <w:jc w:val="both"/>
        <w:rPr>
          <w:rFonts w:ascii="Garamond" w:hAnsi="Garamond"/>
        </w:rPr>
      </w:pPr>
      <w:r w:rsidRPr="00E4514C">
        <w:rPr>
          <w:rFonts w:ascii="Garamond" w:hAnsi="Garamond"/>
        </w:rPr>
        <w:t>Representatives present were</w:t>
      </w:r>
      <w:r w:rsidR="006839C7" w:rsidRPr="00E4514C">
        <w:rPr>
          <w:rFonts w:ascii="Garamond" w:hAnsi="Garamond"/>
        </w:rPr>
        <w:t>:</w:t>
      </w:r>
      <w:r w:rsidRPr="00E4514C">
        <w:rPr>
          <w:rFonts w:ascii="Garamond" w:hAnsi="Garamond"/>
        </w:rPr>
        <w:t xml:space="preserve"> </w:t>
      </w:r>
      <w:r w:rsidR="006839C7" w:rsidRPr="00E4514C">
        <w:rPr>
          <w:rFonts w:ascii="Garamond" w:hAnsi="Garamond"/>
        </w:rPr>
        <w:t>Teresa Morales</w:t>
      </w:r>
      <w:r w:rsidRPr="00E4514C">
        <w:rPr>
          <w:rFonts w:ascii="Garamond" w:hAnsi="Garamond"/>
        </w:rPr>
        <w:t xml:space="preserve">, Multifamily Housing Specialist, TDHCA; </w:t>
      </w:r>
      <w:r w:rsidR="006839C7" w:rsidRPr="00E4514C">
        <w:rPr>
          <w:rFonts w:ascii="Garamond" w:hAnsi="Garamond"/>
        </w:rPr>
        <w:t>Cameron Dorsey</w:t>
      </w:r>
      <w:r w:rsidRPr="00E4514C">
        <w:rPr>
          <w:rFonts w:ascii="Garamond" w:hAnsi="Garamond"/>
        </w:rPr>
        <w:t xml:space="preserve">, Director of Multifamily Housing, TDHCA; </w:t>
      </w:r>
      <w:r w:rsidR="00BC0177" w:rsidRPr="00E4514C">
        <w:rPr>
          <w:rFonts w:ascii="Garamond" w:hAnsi="Garamond"/>
        </w:rPr>
        <w:t xml:space="preserve">Elizabeth Bowes, Bond </w:t>
      </w:r>
      <w:r w:rsidR="00BC0177" w:rsidRPr="00E4514C">
        <w:rPr>
          <w:rFonts w:ascii="Garamond" w:hAnsi="Garamond"/>
        </w:rPr>
        <w:lastRenderedPageBreak/>
        <w:t xml:space="preserve">Counsel, </w:t>
      </w:r>
      <w:r w:rsidRPr="00E4514C">
        <w:rPr>
          <w:rFonts w:ascii="Garamond" w:hAnsi="Garamond"/>
        </w:rPr>
        <w:t>Bracewell &amp; Guiliani</w:t>
      </w:r>
      <w:r w:rsidR="00BC0177" w:rsidRPr="00E4514C">
        <w:rPr>
          <w:rFonts w:ascii="Garamond" w:hAnsi="Garamond"/>
        </w:rPr>
        <w:t xml:space="preserve">; Gary Machak and Barton Withrow, Financial Advisor, George K. Baum and Co.; Dan Dill, Merchant Capital; Michael Nguyen, Atlantic Housing Foundation; Nicole Flores, City Real Estate Advisors. </w:t>
      </w:r>
    </w:p>
    <w:p w:rsidR="008E783F" w:rsidRPr="00E4514C" w:rsidRDefault="008E783F" w:rsidP="00BC0177">
      <w:pPr>
        <w:ind w:firstLine="720"/>
        <w:jc w:val="both"/>
        <w:rPr>
          <w:rFonts w:ascii="Garamond" w:hAnsi="Garamond"/>
        </w:rPr>
      </w:pPr>
    </w:p>
    <w:p w:rsidR="000233FD" w:rsidRPr="00E4514C" w:rsidRDefault="008362C9" w:rsidP="00BC0177">
      <w:pPr>
        <w:ind w:left="720"/>
        <w:jc w:val="both"/>
        <w:rPr>
          <w:rFonts w:ascii="Garamond" w:hAnsi="Garamond"/>
        </w:rPr>
      </w:pPr>
      <w:r w:rsidRPr="00E4514C">
        <w:rPr>
          <w:rFonts w:ascii="Garamond" w:hAnsi="Garamond"/>
        </w:rPr>
        <w:t>The Department submitted an application to issue its Multifamily Housing Revenue Bonds (The Waters at Willow Run Apartments) Series 2013 in maximum par and total proceeds amount of $16,000,000 including premiums if any. The total cost for the Willow Run Apartments project is estimated to be $26,497,700 to be funded from a combination of sources including proceeds of tax-exempt bonds, housing tax credits and a taxable Federal Housing Administration (FHA) mortgage loan.</w:t>
      </w:r>
    </w:p>
    <w:p w:rsidR="008362C9" w:rsidRPr="00E4514C" w:rsidRDefault="008362C9" w:rsidP="00BC0177">
      <w:pPr>
        <w:ind w:left="720"/>
        <w:jc w:val="both"/>
        <w:rPr>
          <w:rFonts w:ascii="Garamond" w:hAnsi="Garamond"/>
        </w:rPr>
      </w:pPr>
    </w:p>
    <w:p w:rsidR="008362C9" w:rsidRPr="00E4514C" w:rsidRDefault="008362C9" w:rsidP="008362C9">
      <w:pPr>
        <w:pStyle w:val="Title"/>
        <w:ind w:left="720"/>
        <w:jc w:val="both"/>
        <w:rPr>
          <w:rFonts w:ascii="Garamond" w:hAnsi="Garamond"/>
          <w:b w:val="0"/>
        </w:rPr>
      </w:pPr>
      <w:r w:rsidRPr="00E4514C">
        <w:rPr>
          <w:rFonts w:ascii="Garamond" w:hAnsi="Garamond"/>
          <w:b w:val="0"/>
          <w:szCs w:val="24"/>
        </w:rPr>
        <w:t>Because the Borrower may seek a 50% property tax abatement upon completion of the project, th</w:t>
      </w:r>
      <w:r w:rsidR="007C1ABF">
        <w:rPr>
          <w:rFonts w:ascii="Garamond" w:hAnsi="Garamond"/>
          <w:b w:val="0"/>
          <w:szCs w:val="24"/>
        </w:rPr>
        <w:t>e</w:t>
      </w:r>
      <w:r w:rsidRPr="00E4514C">
        <w:rPr>
          <w:rFonts w:ascii="Garamond" w:hAnsi="Garamond"/>
          <w:b w:val="0"/>
          <w:szCs w:val="24"/>
        </w:rPr>
        <w:t xml:space="preserve"> transaction does not qualify for exempt approval under the BRB rules. </w:t>
      </w:r>
    </w:p>
    <w:p w:rsidR="008362C9" w:rsidRPr="00E4514C" w:rsidRDefault="008362C9" w:rsidP="00BC0177">
      <w:pPr>
        <w:ind w:left="720"/>
        <w:jc w:val="both"/>
        <w:rPr>
          <w:rFonts w:ascii="Garamond" w:hAnsi="Garamond"/>
          <w:b/>
        </w:rPr>
      </w:pPr>
    </w:p>
    <w:p w:rsidR="008362C9" w:rsidRPr="00E4514C" w:rsidRDefault="008362C9" w:rsidP="008362C9">
      <w:pPr>
        <w:pStyle w:val="BodyText"/>
        <w:ind w:left="720"/>
        <w:rPr>
          <w:rFonts w:ascii="Garamond" w:hAnsi="Garamond"/>
          <w:szCs w:val="24"/>
        </w:rPr>
      </w:pPr>
      <w:r w:rsidRPr="00E4514C">
        <w:rPr>
          <w:rFonts w:ascii="Garamond" w:hAnsi="Garamond"/>
          <w:szCs w:val="24"/>
        </w:rPr>
        <w:t>The bonds will be issued pursuant to Chapter 1371 and Chapter 2306 of the Texas Government Code. The Private Activity Bond reservation was issued to TDHCA on February 14, 2013 and expires on July 14, 2013.</w:t>
      </w:r>
    </w:p>
    <w:p w:rsidR="008362C9" w:rsidRPr="00E4514C" w:rsidRDefault="008362C9" w:rsidP="008362C9">
      <w:pPr>
        <w:ind w:left="720"/>
        <w:jc w:val="both"/>
        <w:rPr>
          <w:rFonts w:ascii="Garamond" w:hAnsi="Garamond"/>
        </w:rPr>
      </w:pPr>
    </w:p>
    <w:p w:rsidR="008362C9" w:rsidRPr="00E4514C" w:rsidRDefault="008362C9" w:rsidP="008362C9">
      <w:pPr>
        <w:autoSpaceDE w:val="0"/>
        <w:autoSpaceDN w:val="0"/>
        <w:adjustRightInd w:val="0"/>
        <w:ind w:left="720"/>
        <w:jc w:val="both"/>
        <w:rPr>
          <w:rFonts w:ascii="Garamond" w:hAnsi="Garamond"/>
          <w:b/>
        </w:rPr>
      </w:pPr>
      <w:r w:rsidRPr="00E4514C">
        <w:rPr>
          <w:rFonts w:ascii="Garamond" w:hAnsi="Garamond" w:cs="TimesNewRomanPSMT"/>
        </w:rPr>
        <w:t>The Borrower is a Texas nonprofit, 501(c)(3) corporation and entitled to a 50% tax abatement under Section 11.1825 of the Texas Property Code. At this time</w:t>
      </w:r>
      <w:r w:rsidR="00A45500">
        <w:rPr>
          <w:rFonts w:ascii="Garamond" w:hAnsi="Garamond" w:cs="TimesNewRomanPSMT"/>
        </w:rPr>
        <w:t>,</w:t>
      </w:r>
      <w:r w:rsidRPr="00E4514C">
        <w:rPr>
          <w:rFonts w:ascii="Garamond" w:hAnsi="Garamond" w:cs="TimesNewRomanPSMT"/>
        </w:rPr>
        <w:t xml:space="preserve"> the Borrower has not decided to apply for the abatement. </w:t>
      </w:r>
    </w:p>
    <w:p w:rsidR="008362C9" w:rsidRPr="00E4514C" w:rsidRDefault="008362C9" w:rsidP="00BC0177">
      <w:pPr>
        <w:ind w:left="720"/>
        <w:jc w:val="both"/>
        <w:rPr>
          <w:rFonts w:ascii="Garamond" w:hAnsi="Garamond"/>
        </w:rPr>
      </w:pPr>
    </w:p>
    <w:p w:rsidR="008362C9" w:rsidRPr="00E4514C" w:rsidRDefault="008362C9" w:rsidP="00BC0177">
      <w:pPr>
        <w:ind w:left="720"/>
        <w:jc w:val="both"/>
        <w:rPr>
          <w:rFonts w:ascii="Garamond" w:hAnsi="Garamond"/>
        </w:rPr>
      </w:pPr>
      <w:r w:rsidRPr="00E4514C">
        <w:rPr>
          <w:rFonts w:ascii="Garamond" w:hAnsi="Garamond"/>
        </w:rPr>
        <w:t>The TDHCA Board approved</w:t>
      </w:r>
      <w:r w:rsidR="007C1ABF">
        <w:rPr>
          <w:rFonts w:ascii="Garamond" w:hAnsi="Garamond"/>
        </w:rPr>
        <w:t xml:space="preserve"> </w:t>
      </w:r>
      <w:r w:rsidRPr="00E4514C">
        <w:rPr>
          <w:rFonts w:ascii="Garamond" w:hAnsi="Garamond"/>
        </w:rPr>
        <w:t>the Willow Run project</w:t>
      </w:r>
      <w:r w:rsidR="00A22B13">
        <w:rPr>
          <w:rFonts w:ascii="Garamond" w:hAnsi="Garamond"/>
        </w:rPr>
        <w:t xml:space="preserve"> </w:t>
      </w:r>
      <w:r w:rsidR="007C1ABF">
        <w:rPr>
          <w:rFonts w:ascii="Garamond" w:hAnsi="Garamond"/>
        </w:rPr>
        <w:t>with conditions</w:t>
      </w:r>
      <w:r w:rsidR="007C1ABF" w:rsidRPr="00E4514C">
        <w:rPr>
          <w:rFonts w:ascii="Garamond" w:hAnsi="Garamond"/>
        </w:rPr>
        <w:t xml:space="preserve"> </w:t>
      </w:r>
      <w:r w:rsidRPr="00E4514C">
        <w:rPr>
          <w:rFonts w:ascii="Garamond" w:hAnsi="Garamond"/>
        </w:rPr>
        <w:t>at its February 21, 2013 Board meeting.</w:t>
      </w:r>
    </w:p>
    <w:p w:rsidR="008362C9" w:rsidRPr="00E4514C" w:rsidRDefault="008362C9" w:rsidP="00BC0177">
      <w:pPr>
        <w:ind w:left="720"/>
        <w:jc w:val="both"/>
        <w:rPr>
          <w:rFonts w:ascii="Garamond" w:hAnsi="Garamond"/>
        </w:rPr>
      </w:pPr>
    </w:p>
    <w:p w:rsidR="008362C9" w:rsidRPr="00E4514C" w:rsidRDefault="008362C9" w:rsidP="008362C9">
      <w:pPr>
        <w:autoSpaceDE w:val="0"/>
        <w:autoSpaceDN w:val="0"/>
        <w:adjustRightInd w:val="0"/>
        <w:ind w:left="720"/>
        <w:jc w:val="both"/>
        <w:rPr>
          <w:rFonts w:ascii="Garamond" w:hAnsi="Garamond"/>
        </w:rPr>
      </w:pPr>
      <w:r w:rsidRPr="00E4514C">
        <w:rPr>
          <w:rFonts w:ascii="Garamond" w:hAnsi="Garamond"/>
        </w:rPr>
        <w:t>The Borrower will use proceeds from the bonds for site purchase, construction and lease-up. The bonds will be refunded no later than June 15, 2019 by an FHA-insured, permanent mortgage loan originated by Centerline Capital Group and underwritten by Merchant Capital LLC with a 40–year maturity and a 4% taxable rate. The total FHA mortgage loan of $18,787,700 will refund the $14,500,000 in tax-exempt bonds and provide additional taxable proceeds of $4,287,700 to cover construction cost overruns. The Borrower will also receive approximately $6,645,909</w:t>
      </w:r>
      <w:r w:rsidRPr="00E4514C">
        <w:rPr>
          <w:rFonts w:ascii="Garamond" w:hAnsi="Garamond"/>
          <w:b/>
        </w:rPr>
        <w:t xml:space="preserve"> </w:t>
      </w:r>
      <w:r w:rsidRPr="00E4514C">
        <w:rPr>
          <w:rFonts w:ascii="Garamond" w:hAnsi="Garamond"/>
        </w:rPr>
        <w:t xml:space="preserve">in tax-credit equity. </w:t>
      </w:r>
    </w:p>
    <w:p w:rsidR="008362C9" w:rsidRPr="00E4514C" w:rsidRDefault="008362C9" w:rsidP="008362C9">
      <w:pPr>
        <w:autoSpaceDE w:val="0"/>
        <w:autoSpaceDN w:val="0"/>
        <w:adjustRightInd w:val="0"/>
        <w:ind w:left="720"/>
        <w:jc w:val="both"/>
        <w:rPr>
          <w:rFonts w:ascii="Garamond" w:hAnsi="Garamond"/>
        </w:rPr>
      </w:pPr>
    </w:p>
    <w:p w:rsidR="008362C9" w:rsidRPr="00E4514C" w:rsidRDefault="008362C9" w:rsidP="008362C9">
      <w:pPr>
        <w:autoSpaceDE w:val="0"/>
        <w:autoSpaceDN w:val="0"/>
        <w:adjustRightInd w:val="0"/>
        <w:ind w:left="720"/>
        <w:jc w:val="both"/>
        <w:rPr>
          <w:rFonts w:ascii="Garamond" w:hAnsi="Garamond"/>
        </w:rPr>
      </w:pPr>
      <w:r w:rsidRPr="00E4514C">
        <w:rPr>
          <w:rFonts w:ascii="Garamond" w:hAnsi="Garamond"/>
        </w:rPr>
        <w:t>TDHCA is acting as a conduit issuer for this transaction and as such the bonds do not constitute an obligation, debt or liability of the state of Texas, or a pledge or loan of faith, credit or taxing power of the state of Texas.</w:t>
      </w:r>
    </w:p>
    <w:p w:rsidR="00A76A26" w:rsidRDefault="00A76A26" w:rsidP="008362C9">
      <w:pPr>
        <w:autoSpaceDE w:val="0"/>
        <w:autoSpaceDN w:val="0"/>
        <w:adjustRightInd w:val="0"/>
        <w:ind w:left="720"/>
        <w:jc w:val="both"/>
        <w:rPr>
          <w:rFonts w:ascii="Garamond" w:hAnsi="Garamond"/>
        </w:rPr>
      </w:pPr>
    </w:p>
    <w:p w:rsidR="008362C9" w:rsidRDefault="008362C9" w:rsidP="008362C9">
      <w:pPr>
        <w:autoSpaceDE w:val="0"/>
        <w:autoSpaceDN w:val="0"/>
        <w:adjustRightInd w:val="0"/>
        <w:ind w:left="720"/>
        <w:jc w:val="both"/>
        <w:rPr>
          <w:rFonts w:ascii="Garamond" w:hAnsi="Garamond"/>
        </w:rPr>
      </w:pPr>
      <w:r w:rsidRPr="00E4514C">
        <w:rPr>
          <w:rFonts w:ascii="Garamond" w:hAnsi="Garamond"/>
        </w:rPr>
        <w:t>HUD commitment for the FHA mortgage loan is expected to be received around April 11, 2013.</w:t>
      </w:r>
    </w:p>
    <w:p w:rsidR="00026155" w:rsidRDefault="00026155" w:rsidP="008362C9">
      <w:pPr>
        <w:autoSpaceDE w:val="0"/>
        <w:autoSpaceDN w:val="0"/>
        <w:adjustRightInd w:val="0"/>
        <w:ind w:left="720"/>
        <w:jc w:val="both"/>
        <w:rPr>
          <w:rFonts w:ascii="Garamond" w:hAnsi="Garamond"/>
        </w:rPr>
      </w:pPr>
    </w:p>
    <w:p w:rsidR="006839C7" w:rsidRPr="00E4514C" w:rsidRDefault="006839C7" w:rsidP="006839C7">
      <w:pPr>
        <w:numPr>
          <w:ilvl w:val="0"/>
          <w:numId w:val="21"/>
        </w:numPr>
        <w:jc w:val="both"/>
        <w:rPr>
          <w:rFonts w:ascii="Garamond" w:hAnsi="Garamond"/>
          <w:b/>
        </w:rPr>
      </w:pPr>
      <w:r w:rsidRPr="00E4514C">
        <w:rPr>
          <w:rFonts w:ascii="Garamond" w:hAnsi="Garamond"/>
          <w:b/>
        </w:rPr>
        <w:t>Texas Department of Housing and Community Affairs Single Family Mortgage Revenue Refunding Bonds, 2013 Series A (Taxable)</w:t>
      </w:r>
    </w:p>
    <w:p w:rsidR="006839C7" w:rsidRPr="00E4514C" w:rsidRDefault="006839C7" w:rsidP="006839C7">
      <w:pPr>
        <w:pStyle w:val="ListParagraph"/>
        <w:rPr>
          <w:rFonts w:ascii="Garamond" w:hAnsi="Garamond"/>
          <w:b/>
        </w:rPr>
      </w:pPr>
    </w:p>
    <w:p w:rsidR="006839C7" w:rsidRPr="00E4514C" w:rsidRDefault="008E783F" w:rsidP="000233FD">
      <w:pPr>
        <w:pStyle w:val="ListParagraph"/>
        <w:jc w:val="both"/>
        <w:rPr>
          <w:rFonts w:ascii="Garamond" w:hAnsi="Garamond"/>
        </w:rPr>
      </w:pPr>
      <w:r w:rsidRPr="00E4514C">
        <w:rPr>
          <w:rFonts w:ascii="Garamond" w:hAnsi="Garamond"/>
        </w:rPr>
        <w:t>Representatives present were:</w:t>
      </w:r>
      <w:r w:rsidR="006839C7" w:rsidRPr="00E4514C">
        <w:rPr>
          <w:rFonts w:ascii="Garamond" w:hAnsi="Garamond"/>
        </w:rPr>
        <w:t xml:space="preserve"> Timothy Nelson, Director of Bond Finance</w:t>
      </w:r>
      <w:r w:rsidRPr="00E4514C">
        <w:rPr>
          <w:rFonts w:ascii="Garamond" w:hAnsi="Garamond"/>
        </w:rPr>
        <w:t xml:space="preserve">, TDHCA; Elizabeth Bowes, Bond Counsel, Bracewell &amp; Guiliani; Gary Machak, Financial Advisor, George K. Baum and Co.; Peter Weiss, Senior Manager of the Investment Banking Syndicate, </w:t>
      </w:r>
      <w:r w:rsidR="006839C7" w:rsidRPr="00E4514C">
        <w:rPr>
          <w:rFonts w:ascii="Garamond" w:hAnsi="Garamond"/>
        </w:rPr>
        <w:t>J.P. Morgan</w:t>
      </w:r>
      <w:r w:rsidRPr="00E4514C">
        <w:rPr>
          <w:rFonts w:ascii="Garamond" w:hAnsi="Garamond"/>
        </w:rPr>
        <w:t>.</w:t>
      </w:r>
    </w:p>
    <w:p w:rsidR="000233FD" w:rsidRPr="00E4514C" w:rsidRDefault="000233FD" w:rsidP="008E783F">
      <w:pPr>
        <w:pStyle w:val="ListParagraph"/>
        <w:rPr>
          <w:rFonts w:ascii="Garamond" w:hAnsi="Garamond"/>
        </w:rPr>
      </w:pPr>
    </w:p>
    <w:p w:rsidR="000233FD" w:rsidRPr="00E4514C" w:rsidRDefault="000233FD" w:rsidP="000233FD">
      <w:pPr>
        <w:ind w:left="720"/>
        <w:jc w:val="both"/>
        <w:rPr>
          <w:rFonts w:ascii="Garamond" w:hAnsi="Garamond"/>
        </w:rPr>
      </w:pPr>
      <w:r w:rsidRPr="00E4514C">
        <w:rPr>
          <w:rFonts w:ascii="Garamond" w:hAnsi="Garamond"/>
        </w:rPr>
        <w:t xml:space="preserve">TDHCA is seeking approval for its Single Family Mortgage Revenue Refunding Bonds, 2013 Series A (Taxable) in a total par and maximum proceeds amount of $44,160,000 including premiums, if any. </w:t>
      </w:r>
    </w:p>
    <w:p w:rsidR="000233FD" w:rsidRPr="00E4514C" w:rsidRDefault="000233FD" w:rsidP="000233FD">
      <w:pPr>
        <w:ind w:left="720"/>
        <w:jc w:val="both"/>
        <w:rPr>
          <w:rFonts w:ascii="Garamond" w:hAnsi="Garamond"/>
        </w:rPr>
      </w:pPr>
    </w:p>
    <w:p w:rsidR="000233FD" w:rsidRPr="00E4514C" w:rsidRDefault="000233FD" w:rsidP="000233FD">
      <w:pPr>
        <w:ind w:left="720"/>
        <w:jc w:val="both"/>
        <w:rPr>
          <w:rFonts w:ascii="Garamond" w:hAnsi="Garamond"/>
        </w:rPr>
      </w:pPr>
      <w:r w:rsidRPr="00E4514C">
        <w:rPr>
          <w:rFonts w:ascii="Garamond" w:hAnsi="Garamond"/>
        </w:rPr>
        <w:t>The 2013A bonds will be used for a current refunding of all outstanding Single Family Mortgage Revenue Bonds, 2002 Series A, Single Family Mortgage Revenue Refunding Bonds, 2002 Series B, and Single Family Mortgage Revenue Refunding Bonds, 2002 Series C.</w:t>
      </w:r>
    </w:p>
    <w:p w:rsidR="000233FD" w:rsidRPr="00E4514C" w:rsidRDefault="000233FD" w:rsidP="000233FD">
      <w:pPr>
        <w:ind w:left="720"/>
        <w:jc w:val="both"/>
        <w:rPr>
          <w:rFonts w:ascii="Garamond" w:hAnsi="Garamond"/>
        </w:rPr>
      </w:pPr>
    </w:p>
    <w:p w:rsidR="000233FD" w:rsidRPr="00E4514C" w:rsidRDefault="000233FD" w:rsidP="000233FD">
      <w:pPr>
        <w:pStyle w:val="StyleJustified1"/>
        <w:spacing w:after="0"/>
        <w:ind w:left="720"/>
        <w:rPr>
          <w:rFonts w:ascii="Garamond" w:hAnsi="Garamond" w:cs="Times"/>
          <w:szCs w:val="24"/>
        </w:rPr>
      </w:pPr>
      <w:r w:rsidRPr="00E4514C">
        <w:rPr>
          <w:rFonts w:ascii="Garamond" w:hAnsi="Garamond" w:cs="Times"/>
          <w:szCs w:val="24"/>
        </w:rPr>
        <w:t>TDHCA anticipates the refunding will generate a net present value (NPV) savings of approximately 17.6%.</w:t>
      </w:r>
    </w:p>
    <w:p w:rsidR="0057456E" w:rsidRDefault="0057456E">
      <w:pPr>
        <w:ind w:left="720"/>
        <w:jc w:val="both"/>
        <w:rPr>
          <w:rFonts w:ascii="Garamond" w:hAnsi="Garamond"/>
        </w:rPr>
      </w:pPr>
    </w:p>
    <w:p w:rsidR="000233FD" w:rsidRPr="00E4514C" w:rsidRDefault="000233FD" w:rsidP="000233FD">
      <w:pPr>
        <w:ind w:left="720"/>
        <w:jc w:val="both"/>
        <w:rPr>
          <w:rFonts w:ascii="Garamond" w:hAnsi="Garamond"/>
        </w:rPr>
      </w:pPr>
      <w:r w:rsidRPr="00E4514C">
        <w:rPr>
          <w:rFonts w:ascii="Garamond" w:hAnsi="Garamond"/>
        </w:rPr>
        <w:t xml:space="preserve">The Bonds are special, limited obligations of TDHCA, payable solely out of the revenues, receipts, and security pledged under the Indenture. The Bonds do not constitute a general obligation of the state of Texas. </w:t>
      </w:r>
    </w:p>
    <w:p w:rsidR="000233FD" w:rsidRPr="00E4514C" w:rsidRDefault="000233FD" w:rsidP="008E783F">
      <w:pPr>
        <w:pStyle w:val="ListParagraph"/>
        <w:rPr>
          <w:rFonts w:ascii="Garamond" w:hAnsi="Garamond"/>
        </w:rPr>
      </w:pPr>
    </w:p>
    <w:p w:rsidR="006839C7" w:rsidRPr="00E4514C" w:rsidRDefault="006839C7" w:rsidP="006839C7">
      <w:pPr>
        <w:pStyle w:val="ListParagraph"/>
        <w:rPr>
          <w:rFonts w:ascii="Garamond" w:hAnsi="Garamond"/>
          <w:b/>
        </w:rPr>
      </w:pPr>
    </w:p>
    <w:p w:rsidR="006839C7" w:rsidRPr="00E4514C" w:rsidRDefault="006839C7" w:rsidP="006839C7">
      <w:pPr>
        <w:numPr>
          <w:ilvl w:val="0"/>
          <w:numId w:val="21"/>
        </w:numPr>
        <w:jc w:val="both"/>
        <w:rPr>
          <w:rFonts w:ascii="Garamond" w:hAnsi="Garamond"/>
          <w:b/>
        </w:rPr>
      </w:pPr>
      <w:r w:rsidRPr="00E4514C">
        <w:rPr>
          <w:rFonts w:ascii="Garamond" w:hAnsi="Garamond"/>
          <w:b/>
        </w:rPr>
        <w:t>Texas State Technical College Waco Lease Purchase (Furniture, Fixtures and Equipment for East Williamson County Higher Education Center at Hutto)</w:t>
      </w:r>
    </w:p>
    <w:p w:rsidR="006839C7" w:rsidRPr="00E4514C" w:rsidRDefault="006839C7" w:rsidP="006839C7">
      <w:pPr>
        <w:jc w:val="both"/>
        <w:rPr>
          <w:rFonts w:ascii="Garamond" w:hAnsi="Garamond"/>
        </w:rPr>
      </w:pPr>
    </w:p>
    <w:p w:rsidR="006839C7" w:rsidRPr="00E4514C" w:rsidRDefault="008E783F" w:rsidP="008E783F">
      <w:pPr>
        <w:ind w:left="720"/>
        <w:jc w:val="both"/>
        <w:rPr>
          <w:rFonts w:ascii="Garamond" w:hAnsi="Garamond"/>
        </w:rPr>
      </w:pPr>
      <w:r w:rsidRPr="00E4514C">
        <w:rPr>
          <w:rFonts w:ascii="Garamond" w:hAnsi="Garamond"/>
        </w:rPr>
        <w:t xml:space="preserve">Representatives present were: </w:t>
      </w:r>
      <w:r w:rsidR="006839C7" w:rsidRPr="00E4514C">
        <w:rPr>
          <w:rFonts w:ascii="Garamond" w:hAnsi="Garamond"/>
        </w:rPr>
        <w:t>Gary Hendricks, Vice Chancellor for Financial and Administrative Services</w:t>
      </w:r>
      <w:r w:rsidR="001A1812" w:rsidRPr="00E4514C">
        <w:rPr>
          <w:rFonts w:ascii="Garamond" w:hAnsi="Garamond"/>
        </w:rPr>
        <w:t xml:space="preserve">, TSTC System; David Kefnovec, Vice President for Financial Services, TSTC Waco; Rob Wolaver, Executive Vice President, TSTC Waco. </w:t>
      </w:r>
    </w:p>
    <w:p w:rsidR="001A1812" w:rsidRPr="00E4514C" w:rsidRDefault="001A1812" w:rsidP="008E783F">
      <w:pPr>
        <w:ind w:left="720"/>
        <w:jc w:val="both"/>
        <w:rPr>
          <w:rFonts w:ascii="Garamond" w:hAnsi="Garamond"/>
        </w:rPr>
      </w:pPr>
    </w:p>
    <w:p w:rsidR="001A1812" w:rsidRPr="00E4514C" w:rsidRDefault="001A1812" w:rsidP="001A1812">
      <w:pPr>
        <w:ind w:left="720"/>
        <w:jc w:val="both"/>
        <w:rPr>
          <w:rFonts w:ascii="Garamond" w:hAnsi="Garamond"/>
        </w:rPr>
      </w:pPr>
      <w:r w:rsidRPr="00E4514C">
        <w:rPr>
          <w:rFonts w:ascii="Garamond" w:hAnsi="Garamond"/>
        </w:rPr>
        <w:t>TSTC is seeking approval to finance the total cost of $2,200,000 for furniture, fixtures and equipment for the East Williamson County Higher Education Center (Multi-Institution Teaching Center (MITC)) located in Hutto</w:t>
      </w:r>
      <w:r w:rsidR="007C1ABF">
        <w:rPr>
          <w:rFonts w:ascii="Garamond" w:hAnsi="Garamond"/>
        </w:rPr>
        <w:t>,</w:t>
      </w:r>
      <w:r w:rsidRPr="00E4514C">
        <w:rPr>
          <w:rFonts w:ascii="Garamond" w:hAnsi="Garamond"/>
        </w:rPr>
        <w:t xml:space="preserve"> </w:t>
      </w:r>
      <w:r w:rsidRPr="00E4514C" w:rsidDel="00512A35">
        <w:rPr>
          <w:rFonts w:ascii="Garamond" w:hAnsi="Garamond"/>
        </w:rPr>
        <w:t>through</w:t>
      </w:r>
      <w:r w:rsidRPr="00E4514C">
        <w:rPr>
          <w:rFonts w:ascii="Garamond" w:hAnsi="Garamond"/>
        </w:rPr>
        <w:t xml:space="preserve"> the Texas Public Finance Authority’s (TPFA) Master Lease Purchase Program (MLPP).</w:t>
      </w:r>
    </w:p>
    <w:p w:rsidR="001A1812" w:rsidRPr="00E4514C" w:rsidRDefault="001A1812" w:rsidP="001A1812">
      <w:pPr>
        <w:ind w:left="720"/>
        <w:jc w:val="both"/>
        <w:rPr>
          <w:rFonts w:ascii="Garamond" w:hAnsi="Garamond"/>
        </w:rPr>
      </w:pPr>
    </w:p>
    <w:p w:rsidR="001A1812" w:rsidRPr="00E4514C" w:rsidRDefault="001A1812" w:rsidP="001A1812">
      <w:pPr>
        <w:ind w:left="720"/>
        <w:jc w:val="both"/>
        <w:rPr>
          <w:rFonts w:ascii="Garamond" w:hAnsi="Garamond"/>
        </w:rPr>
      </w:pPr>
      <w:r w:rsidRPr="00E4514C">
        <w:rPr>
          <w:rFonts w:ascii="Garamond" w:hAnsi="Garamond"/>
        </w:rPr>
        <w:t>The TSTC Board approved the financing on February 7, 2013.</w:t>
      </w:r>
    </w:p>
    <w:p w:rsidR="006839C7" w:rsidRPr="00E4514C" w:rsidRDefault="006839C7" w:rsidP="006839C7">
      <w:pPr>
        <w:pStyle w:val="ListParagraph"/>
        <w:rPr>
          <w:rFonts w:ascii="Garamond" w:hAnsi="Garamond"/>
          <w:b/>
        </w:rPr>
      </w:pPr>
    </w:p>
    <w:p w:rsidR="006839C7" w:rsidRPr="00E4514C" w:rsidRDefault="006839C7" w:rsidP="006839C7">
      <w:pPr>
        <w:numPr>
          <w:ilvl w:val="0"/>
          <w:numId w:val="21"/>
        </w:numPr>
        <w:jc w:val="both"/>
        <w:rPr>
          <w:rFonts w:ascii="Garamond" w:hAnsi="Garamond"/>
          <w:b/>
        </w:rPr>
      </w:pPr>
      <w:r w:rsidRPr="00E4514C">
        <w:rPr>
          <w:rFonts w:ascii="Garamond" w:hAnsi="Garamond"/>
          <w:b/>
        </w:rPr>
        <w:t>EXEMPT - Texas Higher Education Coordinating Board State of Texas (General Obligation Bonds) College Student Loan Bonds and State of Texas (General Obligation Bonds) College Student Loan Refunding Bonds, in one or more series</w:t>
      </w:r>
    </w:p>
    <w:p w:rsidR="006839C7" w:rsidRPr="00E4514C" w:rsidRDefault="006839C7" w:rsidP="006839C7">
      <w:pPr>
        <w:pStyle w:val="ListParagraph"/>
        <w:rPr>
          <w:rFonts w:ascii="Garamond" w:hAnsi="Garamond"/>
          <w:b/>
        </w:rPr>
      </w:pPr>
    </w:p>
    <w:p w:rsidR="008E783F" w:rsidRPr="00E4514C" w:rsidRDefault="008E783F" w:rsidP="00E4514C">
      <w:pPr>
        <w:pStyle w:val="ListParagraph"/>
        <w:jc w:val="both"/>
        <w:rPr>
          <w:rFonts w:ascii="Garamond" w:hAnsi="Garamond"/>
          <w:b/>
        </w:rPr>
      </w:pPr>
      <w:r w:rsidRPr="00E4514C">
        <w:rPr>
          <w:rFonts w:ascii="Garamond" w:hAnsi="Garamond"/>
        </w:rPr>
        <w:t xml:space="preserve">Representatives present were: </w:t>
      </w:r>
      <w:r w:rsidR="006839C7" w:rsidRPr="00E4514C">
        <w:rPr>
          <w:rFonts w:ascii="Garamond" w:hAnsi="Garamond"/>
        </w:rPr>
        <w:t>Patrick Krishock, Senior Financial Analyst</w:t>
      </w:r>
      <w:r w:rsidRPr="00E4514C">
        <w:rPr>
          <w:rFonts w:ascii="Garamond" w:hAnsi="Garamond"/>
        </w:rPr>
        <w:t xml:space="preserve">, THECB; </w:t>
      </w:r>
      <w:r w:rsidR="006839C7" w:rsidRPr="00E4514C">
        <w:rPr>
          <w:rFonts w:ascii="Garamond" w:hAnsi="Garamond"/>
        </w:rPr>
        <w:t>Dan Weaver, Assistant Commissioner Business and Support Services</w:t>
      </w:r>
      <w:r w:rsidRPr="00E4514C">
        <w:rPr>
          <w:rFonts w:ascii="Garamond" w:hAnsi="Garamond"/>
        </w:rPr>
        <w:t>, THECB; Carol Polumbo, Bond Counsel, McCall, Parkhurst &amp; Horton LLP.</w:t>
      </w:r>
    </w:p>
    <w:p w:rsidR="006839C7" w:rsidRPr="00E4514C" w:rsidRDefault="006839C7" w:rsidP="00E4514C">
      <w:pPr>
        <w:pStyle w:val="ListParagraph"/>
        <w:jc w:val="both"/>
        <w:rPr>
          <w:rFonts w:ascii="Garamond" w:hAnsi="Garamond"/>
          <w:u w:val="single"/>
        </w:rPr>
      </w:pPr>
    </w:p>
    <w:p w:rsidR="001A1812" w:rsidRPr="00E4514C" w:rsidRDefault="001A1812" w:rsidP="001A1812">
      <w:pPr>
        <w:pStyle w:val="ListParagraph"/>
        <w:jc w:val="both"/>
        <w:rPr>
          <w:rFonts w:ascii="Garamond" w:hAnsi="Garamond"/>
        </w:rPr>
      </w:pPr>
      <w:r w:rsidRPr="00E4514C">
        <w:rPr>
          <w:rFonts w:ascii="Garamond" w:hAnsi="Garamond"/>
        </w:rPr>
        <w:t>This transaction w</w:t>
      </w:r>
      <w:r w:rsidR="00AE26A6" w:rsidRPr="00E4514C">
        <w:rPr>
          <w:rFonts w:ascii="Garamond" w:hAnsi="Garamond"/>
        </w:rPr>
        <w:t>as sent to the Board on Wednesday, March 6, 2013</w:t>
      </w:r>
      <w:r w:rsidRPr="00E4514C">
        <w:rPr>
          <w:rFonts w:ascii="Garamond" w:hAnsi="Garamond"/>
        </w:rPr>
        <w:t xml:space="preserve"> and is scheduled for exempt approval at</w:t>
      </w:r>
      <w:r w:rsidR="00AE26A6" w:rsidRPr="00E4514C">
        <w:rPr>
          <w:rFonts w:ascii="Garamond" w:hAnsi="Garamond"/>
        </w:rPr>
        <w:t xml:space="preserve"> the close of business on Wednesday, March 13, 2013 </w:t>
      </w:r>
      <w:r w:rsidRPr="00E4514C">
        <w:rPr>
          <w:rFonts w:ascii="Garamond" w:hAnsi="Garamond"/>
        </w:rPr>
        <w:t>unless called in for full review.</w:t>
      </w:r>
    </w:p>
    <w:p w:rsidR="006839C7" w:rsidRPr="00E4514C" w:rsidRDefault="006839C7" w:rsidP="006839C7">
      <w:pPr>
        <w:pStyle w:val="ListParagraph"/>
        <w:rPr>
          <w:rFonts w:ascii="Garamond" w:hAnsi="Garamond"/>
          <w:b/>
        </w:rPr>
      </w:pPr>
    </w:p>
    <w:p w:rsidR="006839C7" w:rsidRPr="00E4514C" w:rsidRDefault="006839C7" w:rsidP="006839C7">
      <w:pPr>
        <w:numPr>
          <w:ilvl w:val="0"/>
          <w:numId w:val="21"/>
        </w:numPr>
        <w:jc w:val="both"/>
        <w:rPr>
          <w:rFonts w:ascii="Garamond" w:hAnsi="Garamond"/>
          <w:b/>
        </w:rPr>
      </w:pPr>
      <w:r w:rsidRPr="00E4514C">
        <w:rPr>
          <w:rFonts w:ascii="Garamond" w:hAnsi="Garamond"/>
          <w:b/>
        </w:rPr>
        <w:t>EXEMPT - Grand Parkway Transportation Corporation Grand Parkway System Revenue Obligations (in one or more Series of Bonds, Notes or other Obligations)</w:t>
      </w:r>
    </w:p>
    <w:p w:rsidR="006839C7" w:rsidRPr="00E4514C" w:rsidRDefault="006839C7" w:rsidP="006839C7">
      <w:pPr>
        <w:pStyle w:val="ListParagraph"/>
        <w:rPr>
          <w:rFonts w:ascii="Garamond" w:hAnsi="Garamond"/>
          <w:b/>
        </w:rPr>
      </w:pPr>
    </w:p>
    <w:p w:rsidR="006839C7" w:rsidRPr="00E4514C" w:rsidRDefault="000233FD" w:rsidP="00E4514C">
      <w:pPr>
        <w:pStyle w:val="ListParagraph"/>
        <w:jc w:val="both"/>
        <w:rPr>
          <w:rFonts w:ascii="Garamond" w:hAnsi="Garamond"/>
        </w:rPr>
      </w:pPr>
      <w:r w:rsidRPr="00E4514C">
        <w:rPr>
          <w:rFonts w:ascii="Garamond" w:hAnsi="Garamond"/>
        </w:rPr>
        <w:t>Representatives present were</w:t>
      </w:r>
      <w:r w:rsidR="006839C7" w:rsidRPr="00E4514C">
        <w:rPr>
          <w:rFonts w:ascii="Garamond" w:hAnsi="Garamond"/>
        </w:rPr>
        <w:t>:</w:t>
      </w:r>
      <w:r w:rsidRPr="00E4514C">
        <w:rPr>
          <w:rFonts w:ascii="Garamond" w:hAnsi="Garamond"/>
        </w:rPr>
        <w:t xml:space="preserve"> </w:t>
      </w:r>
      <w:r w:rsidR="006839C7" w:rsidRPr="00E4514C">
        <w:rPr>
          <w:rFonts w:ascii="Garamond" w:hAnsi="Garamond"/>
        </w:rPr>
        <w:t>Benjamin Asher, Innovative Financing/Debt Management Officer</w:t>
      </w:r>
      <w:r w:rsidRPr="00E4514C">
        <w:rPr>
          <w:rFonts w:ascii="Garamond" w:hAnsi="Garamond"/>
        </w:rPr>
        <w:t xml:space="preserve">, TxDOT; </w:t>
      </w:r>
      <w:r w:rsidR="006839C7" w:rsidRPr="00E4514C">
        <w:rPr>
          <w:rFonts w:ascii="Garamond" w:hAnsi="Garamond"/>
        </w:rPr>
        <w:t>John Munoz, Deputy Director, Innovative Financing/Debt Management Office</w:t>
      </w:r>
      <w:r w:rsidRPr="00E4514C">
        <w:rPr>
          <w:rFonts w:ascii="Garamond" w:hAnsi="Garamond"/>
        </w:rPr>
        <w:t xml:space="preserve">; TxDOT; </w:t>
      </w:r>
      <w:r w:rsidR="006839C7" w:rsidRPr="00E4514C">
        <w:rPr>
          <w:rFonts w:ascii="Garamond" w:hAnsi="Garamond"/>
        </w:rPr>
        <w:t>Rebecca Bronson, Associate General Counsel</w:t>
      </w:r>
      <w:r w:rsidRPr="00E4514C">
        <w:rPr>
          <w:rFonts w:ascii="Garamond" w:hAnsi="Garamond"/>
        </w:rPr>
        <w:t>, TxDOT.</w:t>
      </w:r>
      <w:r w:rsidR="006839C7" w:rsidRPr="00E4514C">
        <w:rPr>
          <w:rFonts w:ascii="Garamond" w:hAnsi="Garamond"/>
        </w:rPr>
        <w:br/>
      </w:r>
    </w:p>
    <w:p w:rsidR="00AE26A6" w:rsidRPr="00E4514C" w:rsidRDefault="00AE26A6" w:rsidP="00AE26A6">
      <w:pPr>
        <w:ind w:left="720"/>
        <w:jc w:val="both"/>
        <w:rPr>
          <w:rFonts w:ascii="Garamond" w:hAnsi="Garamond" w:cs="Arial"/>
          <w:bCs/>
        </w:rPr>
      </w:pPr>
      <w:r w:rsidRPr="00E4514C">
        <w:rPr>
          <w:rFonts w:ascii="Garamond" w:hAnsi="Garamond" w:cs="Arial"/>
          <w:bCs/>
        </w:rPr>
        <w:t>Staff is in the process of reviewing the Grand Parkway NOI received on Decembe</w:t>
      </w:r>
      <w:r w:rsidR="00CF1949">
        <w:rPr>
          <w:rFonts w:ascii="Garamond" w:hAnsi="Garamond" w:cs="Arial"/>
          <w:bCs/>
        </w:rPr>
        <w:t>r 27. Benjamin Asher gave a brief</w:t>
      </w:r>
      <w:r w:rsidRPr="00E4514C">
        <w:rPr>
          <w:rFonts w:ascii="Garamond" w:hAnsi="Garamond" w:cs="Arial"/>
          <w:bCs/>
        </w:rPr>
        <w:t xml:space="preserve"> update on the status of this transaction</w:t>
      </w:r>
      <w:r w:rsidR="00CF1949">
        <w:rPr>
          <w:rFonts w:ascii="Garamond" w:hAnsi="Garamond" w:cs="Arial"/>
          <w:bCs/>
        </w:rPr>
        <w:t>.</w:t>
      </w:r>
      <w:r w:rsidRPr="00E4514C">
        <w:rPr>
          <w:rFonts w:ascii="Garamond" w:hAnsi="Garamond" w:cs="Arial"/>
          <w:bCs/>
        </w:rPr>
        <w:t xml:space="preserve">  </w:t>
      </w:r>
    </w:p>
    <w:p w:rsidR="006839C7" w:rsidRPr="00E4514C" w:rsidRDefault="006839C7" w:rsidP="006839C7">
      <w:pPr>
        <w:pStyle w:val="ListParagraph"/>
        <w:rPr>
          <w:rFonts w:ascii="Garamond" w:hAnsi="Garamond"/>
          <w:b/>
        </w:rPr>
      </w:pPr>
    </w:p>
    <w:p w:rsidR="006839C7" w:rsidRPr="00E4514C" w:rsidRDefault="006839C7" w:rsidP="006839C7">
      <w:pPr>
        <w:pStyle w:val="ListParagraph"/>
        <w:numPr>
          <w:ilvl w:val="0"/>
          <w:numId w:val="21"/>
        </w:numPr>
        <w:jc w:val="both"/>
        <w:rPr>
          <w:rFonts w:ascii="Garamond" w:hAnsi="Garamond"/>
          <w:b/>
        </w:rPr>
      </w:pPr>
      <w:r w:rsidRPr="00E4514C">
        <w:rPr>
          <w:rFonts w:ascii="Garamond" w:hAnsi="Garamond" w:cs="Tahoma"/>
          <w:b/>
        </w:rPr>
        <w:t>Executive Session pursuant to Section 551.074, Texas Government Code to deliberate with respect to the duties, evaluation, and compensation of the Executive Director</w:t>
      </w:r>
    </w:p>
    <w:p w:rsidR="006839C7" w:rsidRPr="00E4514C" w:rsidRDefault="006839C7" w:rsidP="006839C7">
      <w:pPr>
        <w:pStyle w:val="ListParagraph"/>
        <w:widowControl w:val="0"/>
        <w:tabs>
          <w:tab w:val="left" w:pos="720"/>
          <w:tab w:val="left" w:pos="1170"/>
        </w:tabs>
        <w:autoSpaceDE w:val="0"/>
        <w:autoSpaceDN w:val="0"/>
        <w:adjustRightInd w:val="0"/>
        <w:jc w:val="both"/>
        <w:rPr>
          <w:rFonts w:ascii="Garamond" w:hAnsi="Garamond"/>
        </w:rPr>
      </w:pPr>
    </w:p>
    <w:p w:rsidR="006839C7" w:rsidRPr="00E4514C" w:rsidRDefault="006839C7" w:rsidP="006839C7">
      <w:pPr>
        <w:pStyle w:val="ListParagraph"/>
        <w:jc w:val="both"/>
        <w:rPr>
          <w:rFonts w:ascii="Garamond" w:hAnsi="Garamond"/>
        </w:rPr>
      </w:pPr>
      <w:r w:rsidRPr="00E4514C">
        <w:rPr>
          <w:rFonts w:ascii="Garamond" w:hAnsi="Garamond"/>
        </w:rPr>
        <w:t>At 11:32 a.m. the Board entered into Executive Session under the authority of Section 551.074 of the Texas Government Code to discuss the performance evaluation of the Executive Director.</w:t>
      </w:r>
    </w:p>
    <w:p w:rsidR="006839C7" w:rsidRPr="00E4514C" w:rsidRDefault="006839C7" w:rsidP="006839C7">
      <w:pPr>
        <w:pStyle w:val="ListParagraph"/>
        <w:jc w:val="both"/>
        <w:rPr>
          <w:rFonts w:ascii="Garamond" w:hAnsi="Garamond"/>
        </w:rPr>
      </w:pPr>
    </w:p>
    <w:p w:rsidR="006839C7" w:rsidRDefault="006839C7" w:rsidP="006839C7">
      <w:pPr>
        <w:pStyle w:val="ListParagraph"/>
        <w:ind w:left="0" w:firstLine="720"/>
        <w:jc w:val="both"/>
        <w:rPr>
          <w:rFonts w:ascii="Garamond" w:hAnsi="Garamond"/>
        </w:rPr>
      </w:pPr>
      <w:r w:rsidRPr="00E4514C">
        <w:rPr>
          <w:rFonts w:ascii="Garamond" w:hAnsi="Garamond"/>
        </w:rPr>
        <w:t>The Board reconvened in an open meeting at 11:42 a.m.</w:t>
      </w:r>
    </w:p>
    <w:p w:rsidR="007F43B4" w:rsidRPr="00616742" w:rsidRDefault="007F43B4" w:rsidP="007F43B4">
      <w:pPr>
        <w:ind w:left="720"/>
        <w:jc w:val="both"/>
        <w:rPr>
          <w:rFonts w:ascii="Garamond" w:hAnsi="Garamond"/>
          <w:b/>
        </w:rPr>
      </w:pPr>
    </w:p>
    <w:p w:rsidR="007F43B4" w:rsidRPr="00616742" w:rsidRDefault="007F43B4" w:rsidP="007F43B4">
      <w:pPr>
        <w:numPr>
          <w:ilvl w:val="0"/>
          <w:numId w:val="21"/>
        </w:numPr>
        <w:jc w:val="both"/>
        <w:rPr>
          <w:rFonts w:ascii="Garamond" w:hAnsi="Garamond"/>
          <w:b/>
        </w:rPr>
      </w:pPr>
      <w:r w:rsidRPr="00616742">
        <w:rPr>
          <w:rFonts w:ascii="Garamond" w:hAnsi="Garamond"/>
          <w:b/>
        </w:rPr>
        <w:t>Public Comment</w:t>
      </w:r>
    </w:p>
    <w:p w:rsidR="007F43B4" w:rsidRPr="00616742" w:rsidRDefault="007F43B4" w:rsidP="007F43B4">
      <w:pPr>
        <w:pStyle w:val="ListParagraph"/>
        <w:jc w:val="both"/>
        <w:rPr>
          <w:rFonts w:ascii="Garamond" w:hAnsi="Garamond"/>
        </w:rPr>
      </w:pPr>
    </w:p>
    <w:p w:rsidR="00B8270A" w:rsidRPr="00B8270A" w:rsidRDefault="00B8270A" w:rsidP="00B8270A">
      <w:pPr>
        <w:ind w:left="720"/>
        <w:jc w:val="both"/>
        <w:rPr>
          <w:rFonts w:ascii="Garamond" w:hAnsi="Garamond"/>
        </w:rPr>
      </w:pPr>
      <w:r w:rsidRPr="0029377D">
        <w:rPr>
          <w:rFonts w:ascii="Garamond" w:hAnsi="Garamond"/>
        </w:rPr>
        <w:t xml:space="preserve">Scott Swain, Mike Howe, Laura Ludwig, and Emily Berver are concerned citizens </w:t>
      </w:r>
      <w:r w:rsidR="00C72EBB">
        <w:rPr>
          <w:rFonts w:ascii="Garamond" w:hAnsi="Garamond"/>
        </w:rPr>
        <w:t>who</w:t>
      </w:r>
      <w:r w:rsidRPr="0029377D">
        <w:rPr>
          <w:rFonts w:ascii="Garamond" w:hAnsi="Garamond"/>
        </w:rPr>
        <w:t xml:space="preserve"> spoke in opposition </w:t>
      </w:r>
      <w:r w:rsidR="00C72EBB">
        <w:rPr>
          <w:rFonts w:ascii="Garamond" w:hAnsi="Garamond"/>
        </w:rPr>
        <w:t>to</w:t>
      </w:r>
      <w:r w:rsidRPr="0029377D">
        <w:rPr>
          <w:rFonts w:ascii="Garamond" w:hAnsi="Garamond"/>
        </w:rPr>
        <w:t xml:space="preserve"> the construction of a multifamily housing development to be c</w:t>
      </w:r>
      <w:r w:rsidR="00E4514C" w:rsidRPr="0029377D">
        <w:rPr>
          <w:rFonts w:ascii="Garamond" w:hAnsi="Garamond"/>
        </w:rPr>
        <w:t>alled the Waters at Willow Run</w:t>
      </w:r>
      <w:r w:rsidR="006B4641">
        <w:rPr>
          <w:rFonts w:ascii="Garamond" w:hAnsi="Garamond"/>
        </w:rPr>
        <w:t xml:space="preserve"> Apartments</w:t>
      </w:r>
      <w:r w:rsidR="00E4514C" w:rsidRPr="0029377D">
        <w:rPr>
          <w:rFonts w:ascii="Garamond" w:hAnsi="Garamond"/>
        </w:rPr>
        <w:t xml:space="preserve"> </w:t>
      </w:r>
      <w:r w:rsidR="0029377D">
        <w:rPr>
          <w:rFonts w:ascii="Garamond" w:hAnsi="Garamond"/>
        </w:rPr>
        <w:t>discussed</w:t>
      </w:r>
      <w:r w:rsidR="00E4514C" w:rsidRPr="0029377D">
        <w:rPr>
          <w:rFonts w:ascii="Garamond" w:hAnsi="Garamond"/>
        </w:rPr>
        <w:t xml:space="preserve"> as item III above.</w:t>
      </w:r>
    </w:p>
    <w:p w:rsidR="007F43B4" w:rsidRPr="00616742" w:rsidRDefault="007F43B4" w:rsidP="007F43B4">
      <w:pPr>
        <w:pStyle w:val="ListParagraph"/>
        <w:rPr>
          <w:rFonts w:ascii="Garamond" w:hAnsi="Garamond"/>
        </w:rPr>
      </w:pPr>
    </w:p>
    <w:p w:rsidR="007F43B4" w:rsidRPr="00E4514C" w:rsidRDefault="007F43B4" w:rsidP="007F43B4">
      <w:pPr>
        <w:numPr>
          <w:ilvl w:val="0"/>
          <w:numId w:val="21"/>
        </w:numPr>
        <w:jc w:val="both"/>
        <w:rPr>
          <w:rFonts w:ascii="Garamond" w:hAnsi="Garamond"/>
          <w:b/>
        </w:rPr>
      </w:pPr>
      <w:r w:rsidRPr="00E4514C">
        <w:rPr>
          <w:rFonts w:ascii="Garamond" w:hAnsi="Garamond"/>
          <w:b/>
        </w:rPr>
        <w:t>Date for Next Board Meeting</w:t>
      </w:r>
    </w:p>
    <w:p w:rsidR="007F43B4" w:rsidRPr="00E4514C" w:rsidRDefault="007F43B4" w:rsidP="007F43B4">
      <w:pPr>
        <w:pStyle w:val="ListParagraph"/>
        <w:rPr>
          <w:rFonts w:ascii="Garamond" w:hAnsi="Garamond"/>
        </w:rPr>
      </w:pPr>
    </w:p>
    <w:p w:rsidR="007F43B4" w:rsidRPr="00E4514C" w:rsidRDefault="007F43B4" w:rsidP="007F43B4">
      <w:pPr>
        <w:pStyle w:val="ListParagraph"/>
        <w:jc w:val="both"/>
        <w:rPr>
          <w:rFonts w:ascii="Garamond" w:hAnsi="Garamond"/>
        </w:rPr>
      </w:pPr>
      <w:r w:rsidRPr="00E4514C">
        <w:rPr>
          <w:rFonts w:ascii="Garamond" w:hAnsi="Garamond"/>
        </w:rPr>
        <w:t>The next Board Mee</w:t>
      </w:r>
      <w:r w:rsidR="006839C7" w:rsidRPr="00E4514C">
        <w:rPr>
          <w:rFonts w:ascii="Garamond" w:hAnsi="Garamond"/>
        </w:rPr>
        <w:t>ting is scheduled for March 21</w:t>
      </w:r>
      <w:r w:rsidRPr="00E4514C">
        <w:rPr>
          <w:rFonts w:ascii="Garamond" w:hAnsi="Garamond"/>
        </w:rPr>
        <w:t>, 2013 in the R.E. Johnson Conference Center.</w:t>
      </w:r>
    </w:p>
    <w:p w:rsidR="007F43B4" w:rsidRPr="00E4514C" w:rsidRDefault="007F43B4" w:rsidP="007F43B4">
      <w:pPr>
        <w:pStyle w:val="ListParagraph"/>
        <w:rPr>
          <w:rFonts w:ascii="Garamond" w:hAnsi="Garamond"/>
          <w:b/>
        </w:rPr>
      </w:pPr>
    </w:p>
    <w:p w:rsidR="007F43B4" w:rsidRPr="00E4514C" w:rsidRDefault="007F43B4" w:rsidP="007F43B4">
      <w:pPr>
        <w:numPr>
          <w:ilvl w:val="0"/>
          <w:numId w:val="21"/>
        </w:numPr>
        <w:jc w:val="both"/>
        <w:rPr>
          <w:rFonts w:ascii="Garamond" w:hAnsi="Garamond"/>
          <w:b/>
        </w:rPr>
      </w:pPr>
      <w:r w:rsidRPr="00E4514C">
        <w:rPr>
          <w:rFonts w:ascii="Garamond" w:hAnsi="Garamond"/>
          <w:b/>
        </w:rPr>
        <w:t>Items for Future Agendas</w:t>
      </w:r>
    </w:p>
    <w:p w:rsidR="007F43B4" w:rsidRPr="00E4514C" w:rsidRDefault="007F43B4" w:rsidP="007F43B4">
      <w:pPr>
        <w:pStyle w:val="ListParagraph"/>
        <w:rPr>
          <w:rFonts w:ascii="Garamond" w:hAnsi="Garamond"/>
          <w:b/>
        </w:rPr>
      </w:pPr>
    </w:p>
    <w:p w:rsidR="007F43B4" w:rsidRPr="00E4514C" w:rsidRDefault="007F43B4" w:rsidP="007F43B4">
      <w:pPr>
        <w:pStyle w:val="ListParagraph"/>
        <w:jc w:val="both"/>
        <w:outlineLvl w:val="0"/>
        <w:rPr>
          <w:rFonts w:ascii="Garamond" w:hAnsi="Garamond"/>
        </w:rPr>
      </w:pPr>
      <w:r w:rsidRPr="00E4514C">
        <w:rPr>
          <w:rFonts w:ascii="Garamond" w:hAnsi="Garamond"/>
        </w:rPr>
        <w:t>An updated list detailing future bond transactions was handed out.</w:t>
      </w:r>
    </w:p>
    <w:p w:rsidR="007F43B4" w:rsidRPr="00E4514C" w:rsidRDefault="007F43B4" w:rsidP="007F43B4">
      <w:pPr>
        <w:pStyle w:val="ListParagraph"/>
        <w:rPr>
          <w:rFonts w:ascii="Garamond" w:hAnsi="Garamond"/>
          <w:b/>
        </w:rPr>
      </w:pPr>
    </w:p>
    <w:p w:rsidR="007F43B4" w:rsidRPr="00E4514C" w:rsidRDefault="007F43B4" w:rsidP="007F43B4">
      <w:pPr>
        <w:pStyle w:val="ListParagraph"/>
        <w:numPr>
          <w:ilvl w:val="0"/>
          <w:numId w:val="21"/>
        </w:numPr>
        <w:jc w:val="both"/>
        <w:rPr>
          <w:rFonts w:ascii="Garamond" w:hAnsi="Garamond" w:cs="Tahoma"/>
          <w:b/>
        </w:rPr>
      </w:pPr>
      <w:r w:rsidRPr="00E4514C">
        <w:rPr>
          <w:rFonts w:ascii="Garamond" w:hAnsi="Garamond" w:cs="Tahoma"/>
          <w:b/>
        </w:rPr>
        <w:t>Report from the Executive Director</w:t>
      </w:r>
    </w:p>
    <w:p w:rsidR="004C565E" w:rsidRPr="00E4514C" w:rsidRDefault="004C565E" w:rsidP="004C565E">
      <w:pPr>
        <w:jc w:val="both"/>
        <w:rPr>
          <w:rFonts w:ascii="Garamond" w:hAnsi="Garamond" w:cs="Tahoma"/>
          <w:b/>
        </w:rPr>
      </w:pPr>
    </w:p>
    <w:p w:rsidR="004C565E" w:rsidRPr="00E4514C" w:rsidRDefault="004C565E" w:rsidP="004C565E">
      <w:pPr>
        <w:pStyle w:val="ListParagraph"/>
        <w:numPr>
          <w:ilvl w:val="0"/>
          <w:numId w:val="28"/>
        </w:numPr>
        <w:ind w:left="990" w:hanging="270"/>
        <w:jc w:val="both"/>
        <w:rPr>
          <w:rFonts w:ascii="Garamond" w:hAnsi="Garamond" w:cs="Tahoma"/>
        </w:rPr>
      </w:pPr>
      <w:r w:rsidRPr="00E4514C">
        <w:rPr>
          <w:rFonts w:ascii="Garamond" w:hAnsi="Garamond" w:cs="Tahoma"/>
        </w:rPr>
        <w:t xml:space="preserve">Staff </w:t>
      </w:r>
      <w:r w:rsidR="00FD57B1" w:rsidRPr="00E4514C">
        <w:rPr>
          <w:rFonts w:ascii="Garamond" w:hAnsi="Garamond" w:cs="Tahoma"/>
        </w:rPr>
        <w:t xml:space="preserve">handed out an updated list of legislation affecting the Bond Review Board. Of particular interest </w:t>
      </w:r>
      <w:r w:rsidR="00C72EBB">
        <w:rPr>
          <w:rFonts w:ascii="Garamond" w:hAnsi="Garamond" w:cs="Tahoma"/>
        </w:rPr>
        <w:t>are</w:t>
      </w:r>
      <w:r w:rsidR="00FD57B1" w:rsidRPr="00E4514C">
        <w:rPr>
          <w:rFonts w:ascii="Garamond" w:hAnsi="Garamond" w:cs="Tahoma"/>
        </w:rPr>
        <w:t xml:space="preserve"> HB 14, SB 14, HB1805, and SB 636 all relating to transparency.</w:t>
      </w:r>
    </w:p>
    <w:p w:rsidR="004C565E" w:rsidRPr="00E4514C" w:rsidRDefault="004C565E" w:rsidP="004C565E">
      <w:pPr>
        <w:pStyle w:val="ListParagraph"/>
        <w:numPr>
          <w:ilvl w:val="0"/>
          <w:numId w:val="28"/>
        </w:numPr>
        <w:ind w:left="990" w:hanging="270"/>
        <w:jc w:val="both"/>
        <w:rPr>
          <w:rFonts w:ascii="Garamond" w:hAnsi="Garamond" w:cs="Tahoma"/>
        </w:rPr>
      </w:pPr>
      <w:r w:rsidRPr="00E4514C">
        <w:rPr>
          <w:rFonts w:ascii="Garamond" w:hAnsi="Garamond" w:cs="Tahoma"/>
        </w:rPr>
        <w:t xml:space="preserve">Staff </w:t>
      </w:r>
      <w:r w:rsidR="0075785E" w:rsidRPr="00E4514C">
        <w:rPr>
          <w:rFonts w:ascii="Garamond" w:hAnsi="Garamond" w:cs="Tahoma"/>
        </w:rPr>
        <w:t xml:space="preserve">has completed 56 fiscal note requests to date. </w:t>
      </w:r>
    </w:p>
    <w:p w:rsidR="004C565E" w:rsidRPr="00E4514C" w:rsidRDefault="0075785E" w:rsidP="004C565E">
      <w:pPr>
        <w:pStyle w:val="ListParagraph"/>
        <w:numPr>
          <w:ilvl w:val="0"/>
          <w:numId w:val="28"/>
        </w:numPr>
        <w:ind w:left="990" w:hanging="270"/>
        <w:jc w:val="both"/>
        <w:rPr>
          <w:rFonts w:ascii="Garamond" w:hAnsi="Garamond" w:cs="Tahoma"/>
        </w:rPr>
      </w:pPr>
      <w:r w:rsidRPr="00E4514C">
        <w:rPr>
          <w:rFonts w:ascii="Garamond" w:hAnsi="Garamond" w:cs="Tahoma"/>
        </w:rPr>
        <w:t xml:space="preserve">Staff received its first Qualified Energy Conservation Bond application of $3.9 million for an Energy Savings Performance Contract for Hampshire Fannett ISD. </w:t>
      </w:r>
    </w:p>
    <w:p w:rsidR="0075785E" w:rsidRPr="00E4514C" w:rsidRDefault="0075785E" w:rsidP="007F43B4">
      <w:pPr>
        <w:pStyle w:val="ListParagraph"/>
        <w:numPr>
          <w:ilvl w:val="0"/>
          <w:numId w:val="28"/>
        </w:numPr>
        <w:ind w:left="990" w:hanging="270"/>
        <w:jc w:val="both"/>
        <w:rPr>
          <w:rFonts w:ascii="Garamond" w:hAnsi="Garamond"/>
        </w:rPr>
      </w:pPr>
      <w:r w:rsidRPr="00E4514C">
        <w:rPr>
          <w:rFonts w:ascii="Garamond" w:hAnsi="Garamond" w:cs="Tahoma"/>
        </w:rPr>
        <w:t xml:space="preserve">Staff has currently received 748 local government bond issues which is a 10% increase from this time last year. </w:t>
      </w:r>
    </w:p>
    <w:p w:rsidR="007F43B4" w:rsidRPr="00E4514C" w:rsidRDefault="0075785E" w:rsidP="007F43B4">
      <w:pPr>
        <w:pStyle w:val="ListParagraph"/>
        <w:numPr>
          <w:ilvl w:val="0"/>
          <w:numId w:val="28"/>
        </w:numPr>
        <w:ind w:left="990" w:hanging="270"/>
        <w:jc w:val="both"/>
        <w:rPr>
          <w:rFonts w:ascii="Garamond" w:hAnsi="Garamond"/>
        </w:rPr>
      </w:pPr>
      <w:r w:rsidRPr="00E4514C">
        <w:rPr>
          <w:rFonts w:ascii="Garamond" w:hAnsi="Garamond" w:cs="Tahoma"/>
        </w:rPr>
        <w:t xml:space="preserve">John Barton’s last day was Friday March 8, 2013. He has accepted a position with the Texas Public Finance Authority. Staff has posted for a Financial Analyst position on the agency website.  </w:t>
      </w:r>
    </w:p>
    <w:p w:rsidR="007F43B4" w:rsidRPr="00E4514C" w:rsidRDefault="007F43B4" w:rsidP="007F43B4">
      <w:pPr>
        <w:pStyle w:val="ListParagraph"/>
        <w:jc w:val="both"/>
        <w:rPr>
          <w:rFonts w:ascii="Garamond" w:hAnsi="Garamond"/>
        </w:rPr>
      </w:pPr>
    </w:p>
    <w:p w:rsidR="007F43B4" w:rsidRPr="00E4514C" w:rsidRDefault="007F43B4" w:rsidP="007F43B4">
      <w:pPr>
        <w:numPr>
          <w:ilvl w:val="0"/>
          <w:numId w:val="21"/>
        </w:numPr>
        <w:jc w:val="both"/>
        <w:rPr>
          <w:rFonts w:ascii="Garamond" w:hAnsi="Garamond"/>
          <w:b/>
        </w:rPr>
      </w:pPr>
      <w:r w:rsidRPr="00E4514C">
        <w:rPr>
          <w:rFonts w:ascii="Garamond" w:hAnsi="Garamond"/>
          <w:b/>
        </w:rPr>
        <w:t>Adjourn</w:t>
      </w:r>
    </w:p>
    <w:p w:rsidR="007F43B4" w:rsidRPr="00E4514C" w:rsidRDefault="007F43B4" w:rsidP="007F43B4">
      <w:pPr>
        <w:widowControl w:val="0"/>
        <w:tabs>
          <w:tab w:val="left" w:pos="0"/>
        </w:tabs>
        <w:autoSpaceDE w:val="0"/>
        <w:autoSpaceDN w:val="0"/>
        <w:adjustRightInd w:val="0"/>
        <w:rPr>
          <w:rFonts w:ascii="Garamond" w:hAnsi="Garamond"/>
        </w:rPr>
      </w:pPr>
    </w:p>
    <w:p w:rsidR="00B64FB0" w:rsidRPr="00E4514C" w:rsidRDefault="00B64FB0" w:rsidP="00114407">
      <w:pPr>
        <w:widowControl w:val="0"/>
        <w:autoSpaceDE w:val="0"/>
        <w:autoSpaceDN w:val="0"/>
        <w:adjustRightInd w:val="0"/>
        <w:ind w:left="720"/>
        <w:jc w:val="both"/>
        <w:rPr>
          <w:rFonts w:ascii="Garamond" w:hAnsi="Garamond"/>
        </w:rPr>
      </w:pPr>
      <w:r w:rsidRPr="00E4514C">
        <w:rPr>
          <w:rFonts w:ascii="Garamond" w:hAnsi="Garamond"/>
        </w:rPr>
        <w:t xml:space="preserve">There being no further business to discuss, the planning session </w:t>
      </w:r>
      <w:r w:rsidR="007F43B4" w:rsidRPr="00E4514C">
        <w:rPr>
          <w:rFonts w:ascii="Garamond" w:hAnsi="Garamond"/>
        </w:rPr>
        <w:t>adjourned at 11</w:t>
      </w:r>
      <w:r w:rsidRPr="00E4514C">
        <w:rPr>
          <w:rFonts w:ascii="Garamond" w:hAnsi="Garamond"/>
        </w:rPr>
        <w:t>:</w:t>
      </w:r>
      <w:r w:rsidR="006839C7" w:rsidRPr="00E4514C">
        <w:rPr>
          <w:rFonts w:ascii="Garamond" w:hAnsi="Garamond"/>
        </w:rPr>
        <w:t>46</w:t>
      </w:r>
      <w:r w:rsidR="007F43B4" w:rsidRPr="00E4514C">
        <w:rPr>
          <w:rFonts w:ascii="Garamond" w:hAnsi="Garamond"/>
        </w:rPr>
        <w:t xml:space="preserve"> p</w:t>
      </w:r>
      <w:r w:rsidRPr="00E4514C">
        <w:rPr>
          <w:rFonts w:ascii="Garamond" w:hAnsi="Garamond"/>
        </w:rPr>
        <w:t>.m.</w:t>
      </w:r>
    </w:p>
    <w:p w:rsidR="00A1726C" w:rsidRPr="007C695A" w:rsidRDefault="00A1726C" w:rsidP="00114407">
      <w:pPr>
        <w:widowControl w:val="0"/>
        <w:tabs>
          <w:tab w:val="left" w:pos="0"/>
        </w:tabs>
        <w:autoSpaceDE w:val="0"/>
        <w:autoSpaceDN w:val="0"/>
        <w:adjustRightInd w:val="0"/>
        <w:ind w:left="720"/>
        <w:jc w:val="both"/>
        <w:rPr>
          <w:rFonts w:ascii="Garamond" w:hAnsi="Garamond"/>
          <w:lang w:val="fr-FR"/>
        </w:rPr>
      </w:pPr>
    </w:p>
    <w:p w:rsidR="00CA0BD5" w:rsidRPr="002A680D" w:rsidRDefault="00CA0BD5" w:rsidP="00114407">
      <w:pPr>
        <w:pStyle w:val="ListParagraph"/>
        <w:jc w:val="both"/>
        <w:rPr>
          <w:rFonts w:ascii="Garamond" w:hAnsi="Garamond" w:cs="Tahoma"/>
        </w:rPr>
      </w:pPr>
    </w:p>
    <w:sectPr w:rsidR="00CA0BD5" w:rsidRPr="002A680D"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ABF" w:rsidRDefault="007C1ABF">
      <w:r>
        <w:separator/>
      </w:r>
    </w:p>
  </w:endnote>
  <w:endnote w:type="continuationSeparator" w:id="0">
    <w:p w:rsidR="007C1ABF" w:rsidRDefault="007C1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02" w:rsidRDefault="00DD1F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02" w:rsidRDefault="00DD1F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02" w:rsidRDefault="00DD1F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ABF" w:rsidRDefault="007C1ABF">
      <w:r>
        <w:separator/>
      </w:r>
    </w:p>
  </w:footnote>
  <w:footnote w:type="continuationSeparator" w:id="0">
    <w:p w:rsidR="007C1ABF" w:rsidRDefault="007C1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02" w:rsidRDefault="00DD1F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ABF" w:rsidRDefault="007C1ABF">
    <w:pPr>
      <w:pStyle w:val="Header"/>
    </w:pPr>
  </w:p>
  <w:p w:rsidR="007C1ABF" w:rsidRDefault="007C1A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02" w:rsidRDefault="00DD1F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6"/>
  </w:num>
  <w:num w:numId="3">
    <w:abstractNumId w:val="20"/>
  </w:num>
  <w:num w:numId="4">
    <w:abstractNumId w:val="21"/>
  </w:num>
  <w:num w:numId="5">
    <w:abstractNumId w:val="13"/>
  </w:num>
  <w:num w:numId="6">
    <w:abstractNumId w:val="15"/>
  </w:num>
  <w:num w:numId="7">
    <w:abstractNumId w:val="19"/>
  </w:num>
  <w:num w:numId="8">
    <w:abstractNumId w:val="7"/>
  </w:num>
  <w:num w:numId="9">
    <w:abstractNumId w:val="25"/>
  </w:num>
  <w:num w:numId="10">
    <w:abstractNumId w:val="12"/>
  </w:num>
  <w:num w:numId="11">
    <w:abstractNumId w:val="3"/>
  </w:num>
  <w:num w:numId="12">
    <w:abstractNumId w:val="5"/>
  </w:num>
  <w:num w:numId="13">
    <w:abstractNumId w:val="23"/>
  </w:num>
  <w:num w:numId="14">
    <w:abstractNumId w:val="18"/>
  </w:num>
  <w:num w:numId="15">
    <w:abstractNumId w:val="22"/>
  </w:num>
  <w:num w:numId="16">
    <w:abstractNumId w:val="14"/>
  </w:num>
  <w:num w:numId="17">
    <w:abstractNumId w:val="16"/>
  </w:num>
  <w:num w:numId="18">
    <w:abstractNumId w:val="0"/>
  </w:num>
  <w:num w:numId="19">
    <w:abstractNumId w:val="11"/>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4"/>
  </w:num>
  <w:num w:numId="26">
    <w:abstractNumId w:val="17"/>
  </w:num>
  <w:num w:numId="27">
    <w:abstractNumId w:val="4"/>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2097"/>
  </w:hdrShapeDefaults>
  <w:footnotePr>
    <w:footnote w:id="-1"/>
    <w:footnote w:id="0"/>
  </w:footnotePr>
  <w:endnotePr>
    <w:endnote w:id="-1"/>
    <w:endnote w:id="0"/>
  </w:endnotePr>
  <w:compat/>
  <w:rsids>
    <w:rsidRoot w:val="00A46CFB"/>
    <w:rsid w:val="00000346"/>
    <w:rsid w:val="00000E1F"/>
    <w:rsid w:val="00003CE5"/>
    <w:rsid w:val="00006FFC"/>
    <w:rsid w:val="000233FD"/>
    <w:rsid w:val="00025DB1"/>
    <w:rsid w:val="00026155"/>
    <w:rsid w:val="00026B13"/>
    <w:rsid w:val="000274E3"/>
    <w:rsid w:val="00030DFF"/>
    <w:rsid w:val="0003194C"/>
    <w:rsid w:val="00037BA0"/>
    <w:rsid w:val="0004011E"/>
    <w:rsid w:val="000432FF"/>
    <w:rsid w:val="00043E8E"/>
    <w:rsid w:val="0004679F"/>
    <w:rsid w:val="000478E2"/>
    <w:rsid w:val="00050A28"/>
    <w:rsid w:val="00051FF8"/>
    <w:rsid w:val="00052879"/>
    <w:rsid w:val="00052B60"/>
    <w:rsid w:val="00054F19"/>
    <w:rsid w:val="000640D7"/>
    <w:rsid w:val="00070A38"/>
    <w:rsid w:val="00076DEE"/>
    <w:rsid w:val="000770F6"/>
    <w:rsid w:val="000804DD"/>
    <w:rsid w:val="00085668"/>
    <w:rsid w:val="0008736A"/>
    <w:rsid w:val="00087788"/>
    <w:rsid w:val="0009154F"/>
    <w:rsid w:val="00092CED"/>
    <w:rsid w:val="00094A13"/>
    <w:rsid w:val="00096B48"/>
    <w:rsid w:val="00097FA5"/>
    <w:rsid w:val="000B0CD4"/>
    <w:rsid w:val="000B0FCF"/>
    <w:rsid w:val="000B1FF6"/>
    <w:rsid w:val="000B318A"/>
    <w:rsid w:val="000B412E"/>
    <w:rsid w:val="000B61E5"/>
    <w:rsid w:val="000B7D02"/>
    <w:rsid w:val="000C048A"/>
    <w:rsid w:val="000C75C9"/>
    <w:rsid w:val="000D1699"/>
    <w:rsid w:val="000D42A0"/>
    <w:rsid w:val="000E10C1"/>
    <w:rsid w:val="000E1466"/>
    <w:rsid w:val="000F11EB"/>
    <w:rsid w:val="000F2DF9"/>
    <w:rsid w:val="000F37AD"/>
    <w:rsid w:val="000F7139"/>
    <w:rsid w:val="00102684"/>
    <w:rsid w:val="001050A5"/>
    <w:rsid w:val="00107773"/>
    <w:rsid w:val="00114407"/>
    <w:rsid w:val="00123201"/>
    <w:rsid w:val="00127C6C"/>
    <w:rsid w:val="00130BBE"/>
    <w:rsid w:val="00133BE5"/>
    <w:rsid w:val="00135333"/>
    <w:rsid w:val="001433DF"/>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77F6"/>
    <w:rsid w:val="001A0788"/>
    <w:rsid w:val="001A1812"/>
    <w:rsid w:val="001A5FCA"/>
    <w:rsid w:val="001B08EF"/>
    <w:rsid w:val="001B2729"/>
    <w:rsid w:val="001B5757"/>
    <w:rsid w:val="001B7124"/>
    <w:rsid w:val="001C380D"/>
    <w:rsid w:val="001E1487"/>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982"/>
    <w:rsid w:val="00244CAD"/>
    <w:rsid w:val="00246507"/>
    <w:rsid w:val="00250E66"/>
    <w:rsid w:val="00264B97"/>
    <w:rsid w:val="00267366"/>
    <w:rsid w:val="002728E1"/>
    <w:rsid w:val="002732C1"/>
    <w:rsid w:val="0028035A"/>
    <w:rsid w:val="0028192A"/>
    <w:rsid w:val="00282CF9"/>
    <w:rsid w:val="00283CB3"/>
    <w:rsid w:val="0029117E"/>
    <w:rsid w:val="0029377D"/>
    <w:rsid w:val="00294BE4"/>
    <w:rsid w:val="002A380E"/>
    <w:rsid w:val="002B0276"/>
    <w:rsid w:val="002B36BD"/>
    <w:rsid w:val="002B44C3"/>
    <w:rsid w:val="002B5548"/>
    <w:rsid w:val="002B60C5"/>
    <w:rsid w:val="002C1F38"/>
    <w:rsid w:val="002C32B5"/>
    <w:rsid w:val="002C3F39"/>
    <w:rsid w:val="002C7E15"/>
    <w:rsid w:val="002D1C91"/>
    <w:rsid w:val="002D3902"/>
    <w:rsid w:val="002D5A11"/>
    <w:rsid w:val="002D62A1"/>
    <w:rsid w:val="002D727B"/>
    <w:rsid w:val="002E4FB8"/>
    <w:rsid w:val="002E5F91"/>
    <w:rsid w:val="002E705A"/>
    <w:rsid w:val="002E7201"/>
    <w:rsid w:val="002E79A8"/>
    <w:rsid w:val="0030194A"/>
    <w:rsid w:val="00301A4E"/>
    <w:rsid w:val="00311D9A"/>
    <w:rsid w:val="0031300C"/>
    <w:rsid w:val="00316543"/>
    <w:rsid w:val="00321E9B"/>
    <w:rsid w:val="00322F63"/>
    <w:rsid w:val="00323EC7"/>
    <w:rsid w:val="003244FE"/>
    <w:rsid w:val="0032490F"/>
    <w:rsid w:val="00326DD1"/>
    <w:rsid w:val="003327C5"/>
    <w:rsid w:val="0034133C"/>
    <w:rsid w:val="003413E2"/>
    <w:rsid w:val="00343606"/>
    <w:rsid w:val="00343D0D"/>
    <w:rsid w:val="00344304"/>
    <w:rsid w:val="00344D88"/>
    <w:rsid w:val="003450B7"/>
    <w:rsid w:val="00351AC9"/>
    <w:rsid w:val="00352649"/>
    <w:rsid w:val="00352DCC"/>
    <w:rsid w:val="00356C30"/>
    <w:rsid w:val="00367592"/>
    <w:rsid w:val="0037051B"/>
    <w:rsid w:val="003715CC"/>
    <w:rsid w:val="00374D91"/>
    <w:rsid w:val="00375C09"/>
    <w:rsid w:val="00377F53"/>
    <w:rsid w:val="00382CED"/>
    <w:rsid w:val="0038359C"/>
    <w:rsid w:val="0038677D"/>
    <w:rsid w:val="003867F3"/>
    <w:rsid w:val="00390D74"/>
    <w:rsid w:val="00390E1A"/>
    <w:rsid w:val="00392CF2"/>
    <w:rsid w:val="003A5F50"/>
    <w:rsid w:val="003A6C3B"/>
    <w:rsid w:val="003B6E29"/>
    <w:rsid w:val="003C1074"/>
    <w:rsid w:val="003C4FAE"/>
    <w:rsid w:val="003C7732"/>
    <w:rsid w:val="003D14E5"/>
    <w:rsid w:val="003D5899"/>
    <w:rsid w:val="003D7C12"/>
    <w:rsid w:val="003E4659"/>
    <w:rsid w:val="003E4DB6"/>
    <w:rsid w:val="003E62AB"/>
    <w:rsid w:val="003F06CE"/>
    <w:rsid w:val="003F434A"/>
    <w:rsid w:val="003F65AE"/>
    <w:rsid w:val="0040001D"/>
    <w:rsid w:val="00401204"/>
    <w:rsid w:val="00403E16"/>
    <w:rsid w:val="00407934"/>
    <w:rsid w:val="004143B2"/>
    <w:rsid w:val="00415A74"/>
    <w:rsid w:val="004223D0"/>
    <w:rsid w:val="00423C52"/>
    <w:rsid w:val="00426CEA"/>
    <w:rsid w:val="00435AAD"/>
    <w:rsid w:val="00440E72"/>
    <w:rsid w:val="00442660"/>
    <w:rsid w:val="0044329D"/>
    <w:rsid w:val="0044460F"/>
    <w:rsid w:val="00451F77"/>
    <w:rsid w:val="0045498D"/>
    <w:rsid w:val="00457823"/>
    <w:rsid w:val="00460186"/>
    <w:rsid w:val="00462686"/>
    <w:rsid w:val="00463D60"/>
    <w:rsid w:val="00464B25"/>
    <w:rsid w:val="0047046F"/>
    <w:rsid w:val="00471E24"/>
    <w:rsid w:val="0047290F"/>
    <w:rsid w:val="00476FB4"/>
    <w:rsid w:val="00482E4F"/>
    <w:rsid w:val="004854C6"/>
    <w:rsid w:val="00490873"/>
    <w:rsid w:val="00492EDA"/>
    <w:rsid w:val="004933BB"/>
    <w:rsid w:val="004955C8"/>
    <w:rsid w:val="00495FB2"/>
    <w:rsid w:val="00497C04"/>
    <w:rsid w:val="004A03F5"/>
    <w:rsid w:val="004A5881"/>
    <w:rsid w:val="004B0775"/>
    <w:rsid w:val="004B078D"/>
    <w:rsid w:val="004B379C"/>
    <w:rsid w:val="004C565E"/>
    <w:rsid w:val="004C747A"/>
    <w:rsid w:val="004D29AF"/>
    <w:rsid w:val="004D6A06"/>
    <w:rsid w:val="004E1AA9"/>
    <w:rsid w:val="004E1C0E"/>
    <w:rsid w:val="004E4D60"/>
    <w:rsid w:val="004E602E"/>
    <w:rsid w:val="004F71F1"/>
    <w:rsid w:val="005012FD"/>
    <w:rsid w:val="00515088"/>
    <w:rsid w:val="00517FE4"/>
    <w:rsid w:val="00520137"/>
    <w:rsid w:val="005224A3"/>
    <w:rsid w:val="005234B4"/>
    <w:rsid w:val="00523C04"/>
    <w:rsid w:val="00525C48"/>
    <w:rsid w:val="00527C37"/>
    <w:rsid w:val="0053278F"/>
    <w:rsid w:val="00532BC1"/>
    <w:rsid w:val="00540014"/>
    <w:rsid w:val="005427BD"/>
    <w:rsid w:val="0054345D"/>
    <w:rsid w:val="0054473D"/>
    <w:rsid w:val="00551578"/>
    <w:rsid w:val="005568E0"/>
    <w:rsid w:val="005610C5"/>
    <w:rsid w:val="00563D4A"/>
    <w:rsid w:val="0057456E"/>
    <w:rsid w:val="00575509"/>
    <w:rsid w:val="00575C61"/>
    <w:rsid w:val="00576925"/>
    <w:rsid w:val="00580377"/>
    <w:rsid w:val="00583DD2"/>
    <w:rsid w:val="005912CB"/>
    <w:rsid w:val="00592C6A"/>
    <w:rsid w:val="005A1457"/>
    <w:rsid w:val="005A2471"/>
    <w:rsid w:val="005A4EE6"/>
    <w:rsid w:val="005A6003"/>
    <w:rsid w:val="005B635D"/>
    <w:rsid w:val="005C319B"/>
    <w:rsid w:val="005D074D"/>
    <w:rsid w:val="005D468A"/>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203EA"/>
    <w:rsid w:val="006246A1"/>
    <w:rsid w:val="00625400"/>
    <w:rsid w:val="00625D8F"/>
    <w:rsid w:val="00626F77"/>
    <w:rsid w:val="006324F4"/>
    <w:rsid w:val="006345A3"/>
    <w:rsid w:val="006372C3"/>
    <w:rsid w:val="0064105D"/>
    <w:rsid w:val="00641545"/>
    <w:rsid w:val="00642F69"/>
    <w:rsid w:val="00644E8A"/>
    <w:rsid w:val="00645E73"/>
    <w:rsid w:val="00651480"/>
    <w:rsid w:val="00651D5E"/>
    <w:rsid w:val="00664C87"/>
    <w:rsid w:val="00666F19"/>
    <w:rsid w:val="00674D42"/>
    <w:rsid w:val="00680D9E"/>
    <w:rsid w:val="00681D42"/>
    <w:rsid w:val="006839C7"/>
    <w:rsid w:val="0068664A"/>
    <w:rsid w:val="00694671"/>
    <w:rsid w:val="00694D91"/>
    <w:rsid w:val="00695CF8"/>
    <w:rsid w:val="006964B0"/>
    <w:rsid w:val="006970CE"/>
    <w:rsid w:val="006A2038"/>
    <w:rsid w:val="006B34D5"/>
    <w:rsid w:val="006B3A67"/>
    <w:rsid w:val="006B4641"/>
    <w:rsid w:val="006B6FC1"/>
    <w:rsid w:val="006B7C2F"/>
    <w:rsid w:val="006C374D"/>
    <w:rsid w:val="006C3965"/>
    <w:rsid w:val="006D283D"/>
    <w:rsid w:val="006D2D8A"/>
    <w:rsid w:val="006D5D88"/>
    <w:rsid w:val="006E142E"/>
    <w:rsid w:val="006E29FE"/>
    <w:rsid w:val="006E2D7F"/>
    <w:rsid w:val="006F1B74"/>
    <w:rsid w:val="006F1C7F"/>
    <w:rsid w:val="007126B0"/>
    <w:rsid w:val="00714370"/>
    <w:rsid w:val="00715BC7"/>
    <w:rsid w:val="0071624E"/>
    <w:rsid w:val="00724B7A"/>
    <w:rsid w:val="007258EE"/>
    <w:rsid w:val="007269DD"/>
    <w:rsid w:val="00731DEF"/>
    <w:rsid w:val="007341B6"/>
    <w:rsid w:val="00734BA0"/>
    <w:rsid w:val="00737264"/>
    <w:rsid w:val="007419A8"/>
    <w:rsid w:val="00742589"/>
    <w:rsid w:val="007428CD"/>
    <w:rsid w:val="00744BB0"/>
    <w:rsid w:val="00747DCB"/>
    <w:rsid w:val="00747F94"/>
    <w:rsid w:val="00751DCD"/>
    <w:rsid w:val="00752CA9"/>
    <w:rsid w:val="00753673"/>
    <w:rsid w:val="00754B7C"/>
    <w:rsid w:val="00756D87"/>
    <w:rsid w:val="0075785E"/>
    <w:rsid w:val="00762922"/>
    <w:rsid w:val="00763EFC"/>
    <w:rsid w:val="007726CD"/>
    <w:rsid w:val="00772B91"/>
    <w:rsid w:val="007732B6"/>
    <w:rsid w:val="00782335"/>
    <w:rsid w:val="00782E8B"/>
    <w:rsid w:val="00784CC6"/>
    <w:rsid w:val="00790BE8"/>
    <w:rsid w:val="007973DE"/>
    <w:rsid w:val="00797574"/>
    <w:rsid w:val="007A33A8"/>
    <w:rsid w:val="007A3C71"/>
    <w:rsid w:val="007A59AF"/>
    <w:rsid w:val="007B4976"/>
    <w:rsid w:val="007B52B9"/>
    <w:rsid w:val="007C11F7"/>
    <w:rsid w:val="007C1ABF"/>
    <w:rsid w:val="007C2027"/>
    <w:rsid w:val="007C695A"/>
    <w:rsid w:val="007C70A4"/>
    <w:rsid w:val="007D04A6"/>
    <w:rsid w:val="007D3674"/>
    <w:rsid w:val="007D5995"/>
    <w:rsid w:val="007D714F"/>
    <w:rsid w:val="007D7B2A"/>
    <w:rsid w:val="007E15A0"/>
    <w:rsid w:val="007E1930"/>
    <w:rsid w:val="007E250A"/>
    <w:rsid w:val="007E5C5E"/>
    <w:rsid w:val="007F38A2"/>
    <w:rsid w:val="007F3EC1"/>
    <w:rsid w:val="007F43B4"/>
    <w:rsid w:val="007F5EBD"/>
    <w:rsid w:val="00803C8D"/>
    <w:rsid w:val="00804867"/>
    <w:rsid w:val="00805B1C"/>
    <w:rsid w:val="00811E65"/>
    <w:rsid w:val="00815368"/>
    <w:rsid w:val="00816E5B"/>
    <w:rsid w:val="0082176A"/>
    <w:rsid w:val="0082232C"/>
    <w:rsid w:val="008224AD"/>
    <w:rsid w:val="00825CE5"/>
    <w:rsid w:val="008362C9"/>
    <w:rsid w:val="00836E7B"/>
    <w:rsid w:val="00840EF3"/>
    <w:rsid w:val="00844CE9"/>
    <w:rsid w:val="00852D87"/>
    <w:rsid w:val="00853373"/>
    <w:rsid w:val="00854754"/>
    <w:rsid w:val="00863CD7"/>
    <w:rsid w:val="00867D31"/>
    <w:rsid w:val="0087541E"/>
    <w:rsid w:val="00875E47"/>
    <w:rsid w:val="008760B8"/>
    <w:rsid w:val="0087629E"/>
    <w:rsid w:val="00877B95"/>
    <w:rsid w:val="0088431C"/>
    <w:rsid w:val="0088556F"/>
    <w:rsid w:val="00886EEC"/>
    <w:rsid w:val="00894F29"/>
    <w:rsid w:val="00896B2C"/>
    <w:rsid w:val="008A0641"/>
    <w:rsid w:val="008A1F5E"/>
    <w:rsid w:val="008A310A"/>
    <w:rsid w:val="008B09E2"/>
    <w:rsid w:val="008B1974"/>
    <w:rsid w:val="008B2703"/>
    <w:rsid w:val="008B3442"/>
    <w:rsid w:val="008C0578"/>
    <w:rsid w:val="008D1D7F"/>
    <w:rsid w:val="008D2F50"/>
    <w:rsid w:val="008D37A1"/>
    <w:rsid w:val="008E2131"/>
    <w:rsid w:val="008E2FEA"/>
    <w:rsid w:val="008E4939"/>
    <w:rsid w:val="008E5C7B"/>
    <w:rsid w:val="008E6D62"/>
    <w:rsid w:val="008E783F"/>
    <w:rsid w:val="008F2002"/>
    <w:rsid w:val="008F3746"/>
    <w:rsid w:val="008F5298"/>
    <w:rsid w:val="008F7843"/>
    <w:rsid w:val="00905767"/>
    <w:rsid w:val="009070A6"/>
    <w:rsid w:val="00913AD8"/>
    <w:rsid w:val="00914B3F"/>
    <w:rsid w:val="0092615D"/>
    <w:rsid w:val="00930493"/>
    <w:rsid w:val="00936C66"/>
    <w:rsid w:val="0094009C"/>
    <w:rsid w:val="009418AB"/>
    <w:rsid w:val="00942BFA"/>
    <w:rsid w:val="00943BA3"/>
    <w:rsid w:val="00946F5C"/>
    <w:rsid w:val="00951282"/>
    <w:rsid w:val="009535EA"/>
    <w:rsid w:val="0095454C"/>
    <w:rsid w:val="00957C55"/>
    <w:rsid w:val="00962C4D"/>
    <w:rsid w:val="00972436"/>
    <w:rsid w:val="009738E7"/>
    <w:rsid w:val="00974F78"/>
    <w:rsid w:val="009751BD"/>
    <w:rsid w:val="00981234"/>
    <w:rsid w:val="00990AA2"/>
    <w:rsid w:val="00993C58"/>
    <w:rsid w:val="00995E2E"/>
    <w:rsid w:val="00996D65"/>
    <w:rsid w:val="00997C62"/>
    <w:rsid w:val="009B030E"/>
    <w:rsid w:val="009B53B3"/>
    <w:rsid w:val="009B7A27"/>
    <w:rsid w:val="009C0A95"/>
    <w:rsid w:val="009C6B7E"/>
    <w:rsid w:val="009C73E5"/>
    <w:rsid w:val="009C77B0"/>
    <w:rsid w:val="009D26C6"/>
    <w:rsid w:val="009D31B5"/>
    <w:rsid w:val="009D3FD6"/>
    <w:rsid w:val="009D6EAE"/>
    <w:rsid w:val="009E1E01"/>
    <w:rsid w:val="009F073D"/>
    <w:rsid w:val="009F3149"/>
    <w:rsid w:val="009F541E"/>
    <w:rsid w:val="00A025B3"/>
    <w:rsid w:val="00A027A7"/>
    <w:rsid w:val="00A03927"/>
    <w:rsid w:val="00A06034"/>
    <w:rsid w:val="00A14D8A"/>
    <w:rsid w:val="00A1726C"/>
    <w:rsid w:val="00A17595"/>
    <w:rsid w:val="00A20488"/>
    <w:rsid w:val="00A214E4"/>
    <w:rsid w:val="00A21729"/>
    <w:rsid w:val="00A22B13"/>
    <w:rsid w:val="00A27015"/>
    <w:rsid w:val="00A2747D"/>
    <w:rsid w:val="00A27B81"/>
    <w:rsid w:val="00A3619C"/>
    <w:rsid w:val="00A36A14"/>
    <w:rsid w:val="00A45500"/>
    <w:rsid w:val="00A46588"/>
    <w:rsid w:val="00A46CFB"/>
    <w:rsid w:val="00A5223C"/>
    <w:rsid w:val="00A53679"/>
    <w:rsid w:val="00A56C6C"/>
    <w:rsid w:val="00A65E9D"/>
    <w:rsid w:val="00A717F0"/>
    <w:rsid w:val="00A765A5"/>
    <w:rsid w:val="00A76A26"/>
    <w:rsid w:val="00A76C48"/>
    <w:rsid w:val="00A8184E"/>
    <w:rsid w:val="00A83D0F"/>
    <w:rsid w:val="00A83E90"/>
    <w:rsid w:val="00A903E6"/>
    <w:rsid w:val="00A904BC"/>
    <w:rsid w:val="00A942F4"/>
    <w:rsid w:val="00A97A80"/>
    <w:rsid w:val="00AA029A"/>
    <w:rsid w:val="00AA05E9"/>
    <w:rsid w:val="00AA1916"/>
    <w:rsid w:val="00AA2421"/>
    <w:rsid w:val="00AA3775"/>
    <w:rsid w:val="00AA3FA4"/>
    <w:rsid w:val="00AA79AF"/>
    <w:rsid w:val="00AA7A50"/>
    <w:rsid w:val="00AB1478"/>
    <w:rsid w:val="00AB3E99"/>
    <w:rsid w:val="00AC352B"/>
    <w:rsid w:val="00AC3EB5"/>
    <w:rsid w:val="00AD2987"/>
    <w:rsid w:val="00AD47F4"/>
    <w:rsid w:val="00AD5560"/>
    <w:rsid w:val="00AD6355"/>
    <w:rsid w:val="00AE26A6"/>
    <w:rsid w:val="00AF0557"/>
    <w:rsid w:val="00AF14D0"/>
    <w:rsid w:val="00AF5256"/>
    <w:rsid w:val="00AF6399"/>
    <w:rsid w:val="00AF6761"/>
    <w:rsid w:val="00B02DC7"/>
    <w:rsid w:val="00B03FB4"/>
    <w:rsid w:val="00B04035"/>
    <w:rsid w:val="00B05B48"/>
    <w:rsid w:val="00B103B0"/>
    <w:rsid w:val="00B12017"/>
    <w:rsid w:val="00B13840"/>
    <w:rsid w:val="00B21157"/>
    <w:rsid w:val="00B26B34"/>
    <w:rsid w:val="00B26D3A"/>
    <w:rsid w:val="00B3198A"/>
    <w:rsid w:val="00B40C25"/>
    <w:rsid w:val="00B46550"/>
    <w:rsid w:val="00B46BAA"/>
    <w:rsid w:val="00B47489"/>
    <w:rsid w:val="00B5568C"/>
    <w:rsid w:val="00B602FA"/>
    <w:rsid w:val="00B60A2A"/>
    <w:rsid w:val="00B61BB2"/>
    <w:rsid w:val="00B64FB0"/>
    <w:rsid w:val="00B65294"/>
    <w:rsid w:val="00B70366"/>
    <w:rsid w:val="00B70C51"/>
    <w:rsid w:val="00B732B2"/>
    <w:rsid w:val="00B8270A"/>
    <w:rsid w:val="00B93352"/>
    <w:rsid w:val="00B94B2A"/>
    <w:rsid w:val="00B957FD"/>
    <w:rsid w:val="00B96519"/>
    <w:rsid w:val="00BA0B41"/>
    <w:rsid w:val="00BA5CDA"/>
    <w:rsid w:val="00BC0177"/>
    <w:rsid w:val="00BC0648"/>
    <w:rsid w:val="00BC27CE"/>
    <w:rsid w:val="00BD0DAA"/>
    <w:rsid w:val="00BD20C6"/>
    <w:rsid w:val="00BD32B9"/>
    <w:rsid w:val="00BD6937"/>
    <w:rsid w:val="00BD6E3F"/>
    <w:rsid w:val="00BD750C"/>
    <w:rsid w:val="00BE0C2A"/>
    <w:rsid w:val="00BE2AF7"/>
    <w:rsid w:val="00BE2FC6"/>
    <w:rsid w:val="00BF10E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D1C"/>
    <w:rsid w:val="00C60C36"/>
    <w:rsid w:val="00C616CE"/>
    <w:rsid w:val="00C626A4"/>
    <w:rsid w:val="00C62AFB"/>
    <w:rsid w:val="00C6420F"/>
    <w:rsid w:val="00C6642F"/>
    <w:rsid w:val="00C713A6"/>
    <w:rsid w:val="00C72EBB"/>
    <w:rsid w:val="00C760D2"/>
    <w:rsid w:val="00C761CA"/>
    <w:rsid w:val="00C77548"/>
    <w:rsid w:val="00C8080F"/>
    <w:rsid w:val="00C81737"/>
    <w:rsid w:val="00C820EC"/>
    <w:rsid w:val="00C84FA8"/>
    <w:rsid w:val="00C871BA"/>
    <w:rsid w:val="00C87BBE"/>
    <w:rsid w:val="00C909FC"/>
    <w:rsid w:val="00C936CC"/>
    <w:rsid w:val="00C947A3"/>
    <w:rsid w:val="00CA0221"/>
    <w:rsid w:val="00CA0BD5"/>
    <w:rsid w:val="00CA4FE0"/>
    <w:rsid w:val="00CB4A29"/>
    <w:rsid w:val="00CB5B32"/>
    <w:rsid w:val="00CB6327"/>
    <w:rsid w:val="00CD27FE"/>
    <w:rsid w:val="00CD3AC3"/>
    <w:rsid w:val="00CD4335"/>
    <w:rsid w:val="00CD702C"/>
    <w:rsid w:val="00CF1949"/>
    <w:rsid w:val="00CF3C30"/>
    <w:rsid w:val="00CF6164"/>
    <w:rsid w:val="00D013E9"/>
    <w:rsid w:val="00D051AF"/>
    <w:rsid w:val="00D05821"/>
    <w:rsid w:val="00D10871"/>
    <w:rsid w:val="00D30BB8"/>
    <w:rsid w:val="00D32811"/>
    <w:rsid w:val="00D4116D"/>
    <w:rsid w:val="00D41A89"/>
    <w:rsid w:val="00D45BB3"/>
    <w:rsid w:val="00D535DB"/>
    <w:rsid w:val="00D544DE"/>
    <w:rsid w:val="00D6342F"/>
    <w:rsid w:val="00D64401"/>
    <w:rsid w:val="00D6450A"/>
    <w:rsid w:val="00D6548B"/>
    <w:rsid w:val="00D74B3B"/>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C23FA"/>
    <w:rsid w:val="00DC2760"/>
    <w:rsid w:val="00DD1060"/>
    <w:rsid w:val="00DD134A"/>
    <w:rsid w:val="00DD1F02"/>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73AC"/>
    <w:rsid w:val="00E102EE"/>
    <w:rsid w:val="00E10D66"/>
    <w:rsid w:val="00E1334F"/>
    <w:rsid w:val="00E2185C"/>
    <w:rsid w:val="00E21AD3"/>
    <w:rsid w:val="00E241C9"/>
    <w:rsid w:val="00E24D90"/>
    <w:rsid w:val="00E272B8"/>
    <w:rsid w:val="00E27C8E"/>
    <w:rsid w:val="00E32AAB"/>
    <w:rsid w:val="00E332D9"/>
    <w:rsid w:val="00E4177B"/>
    <w:rsid w:val="00E42FBA"/>
    <w:rsid w:val="00E4514C"/>
    <w:rsid w:val="00E54AF3"/>
    <w:rsid w:val="00E56C8E"/>
    <w:rsid w:val="00E6106F"/>
    <w:rsid w:val="00E61643"/>
    <w:rsid w:val="00E63EFF"/>
    <w:rsid w:val="00E64337"/>
    <w:rsid w:val="00E6508B"/>
    <w:rsid w:val="00E6529F"/>
    <w:rsid w:val="00E72AA5"/>
    <w:rsid w:val="00E75F99"/>
    <w:rsid w:val="00E77FA7"/>
    <w:rsid w:val="00E91792"/>
    <w:rsid w:val="00E97326"/>
    <w:rsid w:val="00EA2C21"/>
    <w:rsid w:val="00EA4316"/>
    <w:rsid w:val="00EA66D0"/>
    <w:rsid w:val="00EA71E1"/>
    <w:rsid w:val="00EA7608"/>
    <w:rsid w:val="00EB00DB"/>
    <w:rsid w:val="00EB0D98"/>
    <w:rsid w:val="00EB67EC"/>
    <w:rsid w:val="00EB6ED1"/>
    <w:rsid w:val="00EC4DB0"/>
    <w:rsid w:val="00ED01AA"/>
    <w:rsid w:val="00EE5853"/>
    <w:rsid w:val="00EE64C1"/>
    <w:rsid w:val="00EF0017"/>
    <w:rsid w:val="00EF21DF"/>
    <w:rsid w:val="00EF31B4"/>
    <w:rsid w:val="00EF3BD0"/>
    <w:rsid w:val="00F03D02"/>
    <w:rsid w:val="00F050C1"/>
    <w:rsid w:val="00F05480"/>
    <w:rsid w:val="00F11262"/>
    <w:rsid w:val="00F31A46"/>
    <w:rsid w:val="00F37A04"/>
    <w:rsid w:val="00F40968"/>
    <w:rsid w:val="00F410C0"/>
    <w:rsid w:val="00F42FD8"/>
    <w:rsid w:val="00F45D93"/>
    <w:rsid w:val="00F5193C"/>
    <w:rsid w:val="00F54CDA"/>
    <w:rsid w:val="00F619A6"/>
    <w:rsid w:val="00F627BF"/>
    <w:rsid w:val="00F654C5"/>
    <w:rsid w:val="00F66718"/>
    <w:rsid w:val="00F70501"/>
    <w:rsid w:val="00F70A8D"/>
    <w:rsid w:val="00F741D8"/>
    <w:rsid w:val="00F8149A"/>
    <w:rsid w:val="00F86D0C"/>
    <w:rsid w:val="00F9396F"/>
    <w:rsid w:val="00F93B33"/>
    <w:rsid w:val="00FA4E46"/>
    <w:rsid w:val="00FA7BC1"/>
    <w:rsid w:val="00FB1BAA"/>
    <w:rsid w:val="00FB2757"/>
    <w:rsid w:val="00FB4615"/>
    <w:rsid w:val="00FB50AF"/>
    <w:rsid w:val="00FB5E19"/>
    <w:rsid w:val="00FC30F0"/>
    <w:rsid w:val="00FD2682"/>
    <w:rsid w:val="00FD3591"/>
    <w:rsid w:val="00FD57B1"/>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E29CA-4052-497B-A64F-FECEE041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8190</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2014-04-17T16:59:00Z</dcterms:created>
  <dcterms:modified xsi:type="dcterms:W3CDTF">2014-04-17T16:59:00Z</dcterms:modified>
</cp:coreProperties>
</file>