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525C48" w:rsidRDefault="00525C48" w:rsidP="00525C4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Minutes</w:t>
      </w:r>
    </w:p>
    <w:p w:rsidR="00B70366" w:rsidRPr="00525C48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Texas Bond Review Board</w:t>
      </w:r>
    </w:p>
    <w:p w:rsidR="00B70366" w:rsidRPr="00525C48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Planning Session</w:t>
      </w:r>
    </w:p>
    <w:p w:rsidR="00B70366" w:rsidRPr="00525C48" w:rsidRDefault="00B46550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 xml:space="preserve">Tuesday </w:t>
      </w:r>
      <w:r w:rsidR="00F410C0" w:rsidRPr="00525C48">
        <w:rPr>
          <w:rFonts w:ascii="Garamond" w:hAnsi="Garamond"/>
        </w:rPr>
        <w:t>May 8</w:t>
      </w:r>
      <w:r w:rsidR="001F4AC3" w:rsidRPr="00525C48">
        <w:rPr>
          <w:rFonts w:ascii="Garamond" w:hAnsi="Garamond"/>
        </w:rPr>
        <w:t>,</w:t>
      </w:r>
      <w:r w:rsidR="0088556F" w:rsidRPr="00525C48">
        <w:rPr>
          <w:rFonts w:ascii="Garamond" w:hAnsi="Garamond"/>
        </w:rPr>
        <w:t xml:space="preserve"> </w:t>
      </w:r>
      <w:r w:rsidR="00C84FA8" w:rsidRPr="00525C48">
        <w:rPr>
          <w:rFonts w:ascii="Garamond" w:hAnsi="Garamond"/>
        </w:rPr>
        <w:t>201</w:t>
      </w:r>
      <w:r w:rsidR="00C616CE" w:rsidRPr="00525C48">
        <w:rPr>
          <w:rFonts w:ascii="Garamond" w:hAnsi="Garamond"/>
        </w:rPr>
        <w:t>2</w:t>
      </w:r>
      <w:r w:rsidR="00B70366" w:rsidRPr="00525C48">
        <w:rPr>
          <w:rFonts w:ascii="Garamond" w:hAnsi="Garamond"/>
        </w:rPr>
        <w:t xml:space="preserve">, </w:t>
      </w:r>
      <w:r w:rsidR="001E1487" w:rsidRPr="00525C48">
        <w:rPr>
          <w:rFonts w:ascii="Garamond" w:hAnsi="Garamond"/>
        </w:rPr>
        <w:t>10</w:t>
      </w:r>
      <w:r w:rsidR="007B52B9" w:rsidRPr="00525C48">
        <w:rPr>
          <w:rFonts w:ascii="Garamond" w:hAnsi="Garamond"/>
        </w:rPr>
        <w:t>:00</w:t>
      </w:r>
      <w:r w:rsidR="001E1487" w:rsidRPr="00525C48">
        <w:rPr>
          <w:rFonts w:ascii="Garamond" w:hAnsi="Garamond"/>
        </w:rPr>
        <w:t xml:space="preserve"> a</w:t>
      </w:r>
      <w:r w:rsidR="00464B25" w:rsidRPr="00525C48">
        <w:rPr>
          <w:rFonts w:ascii="Garamond" w:hAnsi="Garamond"/>
        </w:rPr>
        <w:t>.m.</w:t>
      </w:r>
      <w:r w:rsidR="00B70366" w:rsidRPr="00525C48">
        <w:rPr>
          <w:rFonts w:ascii="Garamond" w:hAnsi="Garamond"/>
        </w:rPr>
        <w:t xml:space="preserve"> 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Capitol Extension, Room E2.026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1400 N. Congress Ave.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Austin, TX 78701</w:t>
      </w:r>
    </w:p>
    <w:p w:rsidR="00B70366" w:rsidRPr="005D468A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5D468A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525C48" w:rsidRPr="00525C48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Board (BRB) convened in a planning session at 10:00 a.m., Tuesday Ma</w:t>
      </w:r>
      <w:r w:rsidR="00F45D93">
        <w:rPr>
          <w:rFonts w:ascii="Garamond" w:hAnsi="Garamond"/>
          <w:bCs/>
        </w:rPr>
        <w:t>y</w:t>
      </w:r>
      <w:r w:rsidRPr="00AA1916">
        <w:rPr>
          <w:rFonts w:ascii="Garamond" w:hAnsi="Garamond"/>
          <w:bCs/>
        </w:rPr>
        <w:t xml:space="preserve"> </w:t>
      </w:r>
      <w:r w:rsidR="00F45D93">
        <w:rPr>
          <w:rFonts w:ascii="Garamond" w:hAnsi="Garamond"/>
          <w:bCs/>
        </w:rPr>
        <w:t>8</w:t>
      </w:r>
      <w:r w:rsidRPr="00AA1916">
        <w:rPr>
          <w:rFonts w:ascii="Garamond" w:hAnsi="Garamond"/>
          <w:bCs/>
        </w:rPr>
        <w:t>, 2012 in the Capitol Extension, Room E2.026 in Austin, Texas. Present were Ed Robertson, Chair and Alternate for Governor Rick Perry; Kenneth Besserman, Alternate for Comptroller Susan Combs; David Duran,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4D6A06" w:rsidRPr="005D468A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525C48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25C48">
        <w:rPr>
          <w:rFonts w:ascii="Garamond" w:hAnsi="Garamond"/>
          <w:b/>
          <w:bCs/>
        </w:rPr>
        <w:t>Call to Order</w:t>
      </w:r>
    </w:p>
    <w:p w:rsidR="009F3149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525C48" w:rsidRDefault="00525C48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Kline, Executive Director</w:t>
      </w:r>
      <w:r w:rsidRPr="00525C48">
        <w:rPr>
          <w:rFonts w:ascii="Garamond" w:hAnsi="Garamond"/>
        </w:rPr>
        <w:t xml:space="preserve"> of the BRB, called the meeting to order </w:t>
      </w:r>
      <w:r w:rsidRPr="00AA1916">
        <w:rPr>
          <w:rFonts w:ascii="Garamond" w:hAnsi="Garamond"/>
        </w:rPr>
        <w:t>at 10:0</w:t>
      </w:r>
      <w:r w:rsidR="00AA1916" w:rsidRPr="00AA1916">
        <w:rPr>
          <w:rFonts w:ascii="Garamond" w:hAnsi="Garamond"/>
        </w:rPr>
        <w:t>6</w:t>
      </w:r>
      <w:r w:rsidRPr="00AA1916">
        <w:rPr>
          <w:rFonts w:ascii="Garamond" w:hAnsi="Garamond"/>
        </w:rPr>
        <w:t xml:space="preserve"> a</w:t>
      </w:r>
      <w:r w:rsidRPr="00525C48">
        <w:rPr>
          <w:rFonts w:ascii="Garamond" w:hAnsi="Garamond"/>
        </w:rPr>
        <w:t xml:space="preserve">.m. He announced that this was a planning meeting of Board staff to receive and discuss information relative to the applications before the Board. No votes would be taken. </w:t>
      </w:r>
      <w:r w:rsidR="006324F4">
        <w:rPr>
          <w:rFonts w:ascii="Garamond" w:hAnsi="Garamond"/>
        </w:rPr>
        <w:t>A</w:t>
      </w:r>
      <w:r w:rsidRPr="00525C48">
        <w:rPr>
          <w:rFonts w:ascii="Garamond" w:hAnsi="Garamond"/>
        </w:rPr>
        <w:t xml:space="preserve"> quorum</w:t>
      </w:r>
      <w:r w:rsidR="006324F4">
        <w:rPr>
          <w:rFonts w:ascii="Garamond" w:hAnsi="Garamond"/>
        </w:rPr>
        <w:t xml:space="preserve"> was present</w:t>
      </w:r>
      <w:r w:rsidRPr="00525C48">
        <w:rPr>
          <w:rFonts w:ascii="Garamond" w:hAnsi="Garamond"/>
          <w:b/>
        </w:rPr>
        <w:t>.</w:t>
      </w:r>
    </w:p>
    <w:p w:rsidR="00525C48" w:rsidRPr="005D468A" w:rsidRDefault="00525C48" w:rsidP="009B53B3">
      <w:pPr>
        <w:pStyle w:val="ListParagraph"/>
        <w:ind w:left="0"/>
        <w:rPr>
          <w:rFonts w:ascii="Garamond" w:hAnsi="Garamond"/>
        </w:rPr>
      </w:pPr>
    </w:p>
    <w:p w:rsidR="001B08EF" w:rsidRPr="00525C48" w:rsidRDefault="00F410C0" w:rsidP="005610C5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525C48">
        <w:rPr>
          <w:rFonts w:ascii="Garamond" w:hAnsi="Garamond" w:cs="Arial"/>
          <w:b/>
          <w:bCs/>
        </w:rPr>
        <w:t xml:space="preserve">Texas Water Development Board State of Texas Water Financial Assistance Bonds, </w:t>
      </w:r>
      <w:r w:rsidR="00BF10E8" w:rsidRPr="00525C48">
        <w:rPr>
          <w:rFonts w:ascii="Garamond" w:hAnsi="Garamond" w:cs="Arial"/>
          <w:b/>
          <w:bCs/>
        </w:rPr>
        <w:t>S</w:t>
      </w:r>
      <w:r w:rsidRPr="00525C48">
        <w:rPr>
          <w:rFonts w:ascii="Garamond" w:hAnsi="Garamond" w:cs="Arial"/>
          <w:b/>
          <w:bCs/>
        </w:rPr>
        <w:t>eries 2012F (Economically Distressed Areas Program)</w:t>
      </w:r>
    </w:p>
    <w:p w:rsidR="00476FB4" w:rsidRDefault="00476FB4" w:rsidP="00476FB4">
      <w:pPr>
        <w:pStyle w:val="ListParagraph"/>
        <w:rPr>
          <w:rFonts w:ascii="Garamond" w:hAnsi="Garamond"/>
        </w:rPr>
      </w:pPr>
    </w:p>
    <w:p w:rsidR="00525C48" w:rsidRPr="00525C48" w:rsidRDefault="00525C48" w:rsidP="00525C48">
      <w:pPr>
        <w:pStyle w:val="ListParagraph"/>
        <w:rPr>
          <w:rFonts w:ascii="Garamond" w:hAnsi="Garamond"/>
        </w:rPr>
      </w:pPr>
      <w:r w:rsidRPr="00525C48">
        <w:rPr>
          <w:rFonts w:ascii="Garamond" w:hAnsi="Garamond"/>
        </w:rPr>
        <w:t>This transaction has been withdrawn and is expected to be resubmitted in July.</w:t>
      </w:r>
    </w:p>
    <w:p w:rsidR="00525C48" w:rsidRDefault="00525C48" w:rsidP="00476FB4">
      <w:pPr>
        <w:pStyle w:val="ListParagraph"/>
        <w:rPr>
          <w:rFonts w:ascii="Garamond" w:hAnsi="Garamond"/>
        </w:rPr>
      </w:pPr>
    </w:p>
    <w:p w:rsidR="00C616CE" w:rsidRPr="00525C48" w:rsidRDefault="00F410C0" w:rsidP="00C616CE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/>
          <w:bCs/>
        </w:rPr>
        <w:t>Texas Transportation Commission State Highway Fund First Tier Revenue and Revenue Refunding Bonds Series 2012 (issued in one or more series)</w:t>
      </w:r>
    </w:p>
    <w:p w:rsidR="00F410C0" w:rsidRDefault="00F410C0" w:rsidP="00F410C0">
      <w:pPr>
        <w:pStyle w:val="ListParagraph"/>
        <w:rPr>
          <w:rFonts w:ascii="Garamond" w:hAnsi="Garamond" w:cs="Arial"/>
          <w:bCs/>
        </w:rPr>
      </w:pPr>
    </w:p>
    <w:p w:rsidR="00525C48" w:rsidRDefault="00525C48" w:rsidP="00525C48">
      <w:pPr>
        <w:pStyle w:val="ListParagraph"/>
        <w:jc w:val="both"/>
        <w:rPr>
          <w:rFonts w:ascii="Garamond" w:hAnsi="Garamond" w:cs="Arial"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  <w:t>John Munoz, Deputy Director, Finance Division</w:t>
      </w:r>
      <w:r>
        <w:rPr>
          <w:rFonts w:ascii="Garamond" w:hAnsi="Garamond" w:cs="Arial"/>
          <w:bCs/>
        </w:rPr>
        <w:t xml:space="preserve">, TXDOT; </w:t>
      </w:r>
      <w:r w:rsidRPr="00525C48">
        <w:rPr>
          <w:rFonts w:ascii="Garamond" w:hAnsi="Garamond" w:cs="Arial"/>
          <w:bCs/>
        </w:rPr>
        <w:t>Jennifer Wright, Analyst, Innovative Finance &amp; Debt Management Office</w:t>
      </w:r>
      <w:r>
        <w:rPr>
          <w:rFonts w:ascii="Garamond" w:hAnsi="Garamond" w:cs="Arial"/>
          <w:bCs/>
        </w:rPr>
        <w:t>, TXDOT; and J</w:t>
      </w:r>
      <w:r w:rsidRPr="00525C48">
        <w:rPr>
          <w:rFonts w:ascii="Garamond" w:hAnsi="Garamond" w:cs="Arial"/>
          <w:bCs/>
        </w:rPr>
        <w:t>erry Kyle, Bond Counsel, Andrews Kurth</w:t>
      </w:r>
      <w:r>
        <w:rPr>
          <w:rFonts w:ascii="Garamond" w:hAnsi="Garamond" w:cs="Arial"/>
          <w:bCs/>
        </w:rPr>
        <w:t>.</w:t>
      </w:r>
    </w:p>
    <w:p w:rsidR="00525C48" w:rsidRDefault="00525C48" w:rsidP="00525C48">
      <w:pPr>
        <w:pStyle w:val="ListParagraph"/>
        <w:jc w:val="both"/>
        <w:rPr>
          <w:rFonts w:ascii="Garamond" w:hAnsi="Garamond" w:cs="Arial"/>
          <w:bCs/>
        </w:rPr>
      </w:pPr>
    </w:p>
    <w:p w:rsidR="00E77FA7" w:rsidRDefault="00E77FA7" w:rsidP="001B2729">
      <w:pPr>
        <w:ind w:left="720"/>
        <w:jc w:val="both"/>
        <w:rPr>
          <w:rFonts w:ascii="Garamond" w:hAnsi="Garamond" w:cs="Times"/>
        </w:rPr>
      </w:pPr>
      <w:r w:rsidRPr="000A26DF">
        <w:rPr>
          <w:rFonts w:ascii="Garamond" w:hAnsi="Garamond"/>
        </w:rPr>
        <w:t>The Commission is seeking approval to issue State Highway Fund First Tier Revenue and Revenue Refunding Bonds, Series 2012</w:t>
      </w:r>
      <w:r>
        <w:rPr>
          <w:rFonts w:ascii="Garamond" w:hAnsi="Garamond"/>
        </w:rPr>
        <w:t>, in one or more series,</w:t>
      </w:r>
      <w:r w:rsidRPr="000A26DF">
        <w:rPr>
          <w:rFonts w:ascii="Garamond" w:hAnsi="Garamond"/>
        </w:rPr>
        <w:t xml:space="preserve"> in</w:t>
      </w:r>
      <w:r>
        <w:rPr>
          <w:rFonts w:ascii="Garamond" w:hAnsi="Garamond"/>
        </w:rPr>
        <w:t xml:space="preserve"> an</w:t>
      </w:r>
      <w:r w:rsidRPr="000A26D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aggregate </w:t>
      </w:r>
      <w:r w:rsidRPr="000A26DF">
        <w:rPr>
          <w:rFonts w:ascii="Garamond" w:hAnsi="Garamond"/>
        </w:rPr>
        <w:t xml:space="preserve">par amount </w:t>
      </w:r>
      <w:r>
        <w:rPr>
          <w:rFonts w:ascii="Garamond" w:hAnsi="Garamond"/>
        </w:rPr>
        <w:t xml:space="preserve">not to exceed $3,100,667,126 and a total maximum proceeds amount not to exceed </w:t>
      </w:r>
      <w:r w:rsidRPr="000A26DF">
        <w:rPr>
          <w:rFonts w:ascii="Garamond" w:hAnsi="Garamond"/>
        </w:rPr>
        <w:t xml:space="preserve">$3,464,960,758 </w:t>
      </w:r>
      <w:r>
        <w:rPr>
          <w:rFonts w:ascii="Garamond" w:hAnsi="Garamond"/>
        </w:rPr>
        <w:t>including</w:t>
      </w:r>
      <w:r w:rsidRPr="000A26DF">
        <w:rPr>
          <w:rFonts w:ascii="Garamond" w:hAnsi="Garamond"/>
        </w:rPr>
        <w:t xml:space="preserve"> premiums</w:t>
      </w:r>
      <w:r w:rsidRPr="00FC4FA2">
        <w:rPr>
          <w:rFonts w:ascii="Garamond" w:hAnsi="Garamond"/>
        </w:rPr>
        <w:t>.</w:t>
      </w:r>
      <w:r w:rsidRPr="00FC4FA2">
        <w:rPr>
          <w:rFonts w:ascii="Garamond" w:hAnsi="Garamond" w:cs="Times"/>
        </w:rPr>
        <w:t xml:space="preserve"> </w:t>
      </w:r>
      <w:r w:rsidRPr="003D1802">
        <w:rPr>
          <w:rFonts w:ascii="Garamond" w:hAnsi="Garamond" w:cs="Times"/>
        </w:rPr>
        <w:t xml:space="preserve">The </w:t>
      </w:r>
      <w:r>
        <w:rPr>
          <w:rFonts w:ascii="Garamond" w:hAnsi="Garamond" w:cs="Times"/>
        </w:rPr>
        <w:t xml:space="preserve">total </w:t>
      </w:r>
      <w:r w:rsidRPr="003D1802">
        <w:rPr>
          <w:rFonts w:ascii="Garamond" w:hAnsi="Garamond" w:cs="Times"/>
        </w:rPr>
        <w:t xml:space="preserve">requested par amount consists of </w:t>
      </w:r>
      <w:r>
        <w:rPr>
          <w:rFonts w:ascii="Garamond" w:hAnsi="Garamond" w:cs="Times"/>
        </w:rPr>
        <w:t xml:space="preserve">up to </w:t>
      </w:r>
      <w:r w:rsidRPr="003D1802">
        <w:rPr>
          <w:rFonts w:ascii="Garamond" w:hAnsi="Garamond" w:cs="Times"/>
        </w:rPr>
        <w:t xml:space="preserve">$1,400,667,128 in remaining new money authority and $1.7 billion </w:t>
      </w:r>
      <w:r>
        <w:rPr>
          <w:rFonts w:ascii="Garamond" w:hAnsi="Garamond" w:cs="Times"/>
        </w:rPr>
        <w:t>to</w:t>
      </w:r>
      <w:r w:rsidRPr="003D1802">
        <w:rPr>
          <w:rFonts w:ascii="Garamond" w:hAnsi="Garamond" w:cs="Times"/>
        </w:rPr>
        <w:t xml:space="preserve"> </w:t>
      </w:r>
      <w:r>
        <w:rPr>
          <w:rFonts w:ascii="Garamond" w:hAnsi="Garamond" w:cs="Times"/>
        </w:rPr>
        <w:t xml:space="preserve">advance </w:t>
      </w:r>
      <w:r w:rsidRPr="003D1802">
        <w:rPr>
          <w:rFonts w:ascii="Garamond" w:hAnsi="Garamond" w:cs="Times"/>
        </w:rPr>
        <w:t>refund</w:t>
      </w:r>
      <w:r>
        <w:rPr>
          <w:rFonts w:ascii="Garamond" w:hAnsi="Garamond" w:cs="Times"/>
        </w:rPr>
        <w:t xml:space="preserve"> outstanding bonds</w:t>
      </w:r>
      <w:r w:rsidRPr="003D1802">
        <w:rPr>
          <w:rFonts w:ascii="Garamond" w:hAnsi="Garamond" w:cs="Times"/>
        </w:rPr>
        <w:t>.</w:t>
      </w:r>
      <w:r>
        <w:rPr>
          <w:rFonts w:ascii="Garamond" w:hAnsi="Garamond" w:cs="Times"/>
        </w:rPr>
        <w:t xml:space="preserve"> The Commission currently expects to issue $</w:t>
      </w:r>
      <w:r w:rsidRPr="006B0AD1">
        <w:rPr>
          <w:rFonts w:ascii="Garamond" w:hAnsi="Garamond" w:cs="Times"/>
          <w:bCs/>
        </w:rPr>
        <w:t>1,228,640,000</w:t>
      </w:r>
      <w:r>
        <w:rPr>
          <w:rFonts w:ascii="Garamond" w:hAnsi="Garamond" w:cs="Times"/>
          <w:bCs/>
        </w:rPr>
        <w:t xml:space="preserve"> in </w:t>
      </w:r>
      <w:r>
        <w:rPr>
          <w:rFonts w:ascii="Garamond" w:hAnsi="Garamond" w:cs="Times"/>
        </w:rPr>
        <w:t xml:space="preserve">par amount for the new money portion </w:t>
      </w:r>
      <w:r>
        <w:rPr>
          <w:rFonts w:ascii="Garamond" w:hAnsi="Garamond" w:cs="Times"/>
          <w:bCs/>
        </w:rPr>
        <w:t>and based its costs per $1,000 COI accordingly.</w:t>
      </w:r>
      <w:r>
        <w:rPr>
          <w:rFonts w:ascii="Garamond" w:hAnsi="Garamond" w:cs="Times"/>
        </w:rPr>
        <w:t xml:space="preserve"> </w:t>
      </w:r>
    </w:p>
    <w:p w:rsidR="00525C48" w:rsidRDefault="00525C48" w:rsidP="00525C48">
      <w:pPr>
        <w:pStyle w:val="ListParagraph"/>
        <w:jc w:val="both"/>
        <w:rPr>
          <w:rFonts w:ascii="Garamond" w:hAnsi="Garamond" w:cs="Arial"/>
          <w:bCs/>
        </w:rPr>
      </w:pPr>
    </w:p>
    <w:p w:rsidR="001B2729" w:rsidRPr="00ED5EF2" w:rsidRDefault="001B2729" w:rsidP="001B2729">
      <w:pPr>
        <w:ind w:left="720"/>
        <w:jc w:val="both"/>
        <w:rPr>
          <w:rFonts w:ascii="Garamond" w:hAnsi="Garamond"/>
        </w:rPr>
      </w:pPr>
      <w:r w:rsidRPr="00D948D3">
        <w:rPr>
          <w:rFonts w:ascii="Garamond" w:hAnsi="Garamond"/>
        </w:rPr>
        <w:t xml:space="preserve">Proceeds from the bonds will be used to finance state highway improvement projects, </w:t>
      </w:r>
      <w:r>
        <w:rPr>
          <w:rFonts w:ascii="Garamond" w:hAnsi="Garamond"/>
        </w:rPr>
        <w:t xml:space="preserve">advance </w:t>
      </w:r>
      <w:r w:rsidRPr="00D948D3">
        <w:rPr>
          <w:rFonts w:ascii="Garamond" w:hAnsi="Garamond"/>
        </w:rPr>
        <w:t xml:space="preserve">refund outstanding </w:t>
      </w:r>
      <w:r>
        <w:rPr>
          <w:rFonts w:ascii="Garamond" w:hAnsi="Garamond"/>
        </w:rPr>
        <w:t xml:space="preserve">debt </w:t>
      </w:r>
      <w:r w:rsidRPr="00D948D3">
        <w:rPr>
          <w:rFonts w:ascii="Garamond" w:hAnsi="Garamond"/>
        </w:rPr>
        <w:t xml:space="preserve">and pay associated costs of issuance. </w:t>
      </w:r>
      <w:r w:rsidRPr="00ED5EF2">
        <w:rPr>
          <w:rFonts w:ascii="Garamond" w:hAnsi="Garamond"/>
        </w:rPr>
        <w:t>At present no TxDOT projects have been allocated funds from this financing.</w:t>
      </w:r>
    </w:p>
    <w:p w:rsidR="001B2729" w:rsidRPr="00525C48" w:rsidRDefault="001B2729" w:rsidP="00525C48">
      <w:pPr>
        <w:pStyle w:val="ListParagraph"/>
        <w:jc w:val="both"/>
        <w:rPr>
          <w:rFonts w:ascii="Garamond" w:hAnsi="Garamond" w:cs="Arial"/>
          <w:bCs/>
        </w:rPr>
      </w:pPr>
    </w:p>
    <w:p w:rsidR="001B2729" w:rsidRDefault="001B2729" w:rsidP="001B2729">
      <w:pPr>
        <w:pStyle w:val="ListParagraph"/>
        <w:jc w:val="both"/>
        <w:rPr>
          <w:rFonts w:ascii="Garamond" w:hAnsi="Garamond" w:cs="Arial"/>
          <w:bCs/>
        </w:rPr>
      </w:pPr>
      <w:r w:rsidRPr="001B2729">
        <w:rPr>
          <w:rFonts w:ascii="Garamond" w:hAnsi="Garamond" w:cs="Arial"/>
          <w:bCs/>
        </w:rPr>
        <w:t>The bonds will be issued through a negotiated sale as revenue, self-supporting senior obligation</w:t>
      </w:r>
      <w:r w:rsidR="006324F4">
        <w:rPr>
          <w:rFonts w:ascii="Garamond" w:hAnsi="Garamond" w:cs="Arial"/>
          <w:bCs/>
        </w:rPr>
        <w:t>,</w:t>
      </w:r>
      <w:r w:rsidRPr="001B2729">
        <w:rPr>
          <w:rFonts w:ascii="Garamond" w:hAnsi="Garamond" w:cs="Arial"/>
          <w:bCs/>
        </w:rPr>
        <w:t xml:space="preserve"> tax-exempt and/or taxable, variable and/or fixed-rate securities in denominations of $5,000 or any integral multiple thereof with a maturity of not more than twenty (20) years. </w:t>
      </w:r>
    </w:p>
    <w:p w:rsidR="001B2729" w:rsidRDefault="001B2729" w:rsidP="001B2729">
      <w:pPr>
        <w:pStyle w:val="ListParagraph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lastRenderedPageBreak/>
        <w:t xml:space="preserve">John Munoz stated that </w:t>
      </w:r>
      <w:r w:rsidR="009B7A27">
        <w:rPr>
          <w:rFonts w:ascii="Garamond" w:hAnsi="Garamond" w:cs="Arial"/>
          <w:bCs/>
        </w:rPr>
        <w:t xml:space="preserve">based on </w:t>
      </w:r>
      <w:r>
        <w:rPr>
          <w:rFonts w:ascii="Garamond" w:hAnsi="Garamond" w:cs="Arial"/>
          <w:bCs/>
        </w:rPr>
        <w:t>current</w:t>
      </w:r>
      <w:r w:rsidR="009B7A27">
        <w:rPr>
          <w:rFonts w:ascii="Garamond" w:hAnsi="Garamond" w:cs="Arial"/>
          <w:bCs/>
        </w:rPr>
        <w:t xml:space="preserve"> rates</w:t>
      </w:r>
      <w:r>
        <w:rPr>
          <w:rFonts w:ascii="Garamond" w:hAnsi="Garamond" w:cs="Arial"/>
          <w:bCs/>
        </w:rPr>
        <w:t xml:space="preserve"> the Commission expects to refund $500 million in bonds but has the flexibility to refund additional </w:t>
      </w:r>
      <w:r w:rsidR="009B7A27">
        <w:rPr>
          <w:rFonts w:ascii="Garamond" w:hAnsi="Garamond" w:cs="Arial"/>
          <w:bCs/>
        </w:rPr>
        <w:t>bonds</w:t>
      </w:r>
      <w:r>
        <w:rPr>
          <w:rFonts w:ascii="Garamond" w:hAnsi="Garamond" w:cs="Arial"/>
          <w:bCs/>
        </w:rPr>
        <w:t xml:space="preserve"> if a </w:t>
      </w:r>
      <w:r w:rsidR="00A025B3">
        <w:rPr>
          <w:rFonts w:ascii="Garamond" w:hAnsi="Garamond" w:cs="Arial"/>
          <w:bCs/>
        </w:rPr>
        <w:t xml:space="preserve">minimum </w:t>
      </w:r>
      <w:r>
        <w:rPr>
          <w:rFonts w:ascii="Garamond" w:hAnsi="Garamond" w:cs="Arial"/>
          <w:bCs/>
        </w:rPr>
        <w:t>3% net present value savings can be achieved.</w:t>
      </w:r>
    </w:p>
    <w:p w:rsidR="001B2729" w:rsidRDefault="001B2729" w:rsidP="001B2729">
      <w:pPr>
        <w:pStyle w:val="ListParagraph"/>
        <w:jc w:val="both"/>
        <w:rPr>
          <w:rFonts w:ascii="Garamond" w:hAnsi="Garamond" w:cs="Arial"/>
          <w:bCs/>
        </w:rPr>
      </w:pPr>
    </w:p>
    <w:p w:rsidR="001B2729" w:rsidRDefault="00192220" w:rsidP="001B2729">
      <w:pPr>
        <w:pStyle w:val="ListParagraph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Mr. Munoz also stated that </w:t>
      </w:r>
      <w:r w:rsidR="006037D6" w:rsidRPr="006037D6">
        <w:rPr>
          <w:rFonts w:ascii="Garamond" w:hAnsi="Garamond" w:cs="Arial"/>
          <w:bCs/>
        </w:rPr>
        <w:t>based on current market rates</w:t>
      </w:r>
      <w:r w:rsidR="006037D6">
        <w:rPr>
          <w:rFonts w:ascii="Garamond" w:hAnsi="Garamond" w:cs="Arial"/>
          <w:bCs/>
        </w:rPr>
        <w:t xml:space="preserve"> the </w:t>
      </w:r>
      <w:r w:rsidR="00D93772">
        <w:rPr>
          <w:rFonts w:ascii="Garamond" w:hAnsi="Garamond" w:cs="Arial"/>
          <w:bCs/>
        </w:rPr>
        <w:t xml:space="preserve">expected </w:t>
      </w:r>
      <w:r w:rsidR="00AC352B">
        <w:rPr>
          <w:rFonts w:ascii="Garamond" w:hAnsi="Garamond" w:cs="Arial"/>
          <w:bCs/>
        </w:rPr>
        <w:t>true interest cost</w:t>
      </w:r>
      <w:r>
        <w:rPr>
          <w:rFonts w:ascii="Garamond" w:hAnsi="Garamond" w:cs="Arial"/>
          <w:bCs/>
        </w:rPr>
        <w:t xml:space="preserve"> will be </w:t>
      </w:r>
      <w:r w:rsidR="00D93772">
        <w:rPr>
          <w:rFonts w:ascii="Garamond" w:hAnsi="Garamond" w:cs="Arial"/>
          <w:bCs/>
        </w:rPr>
        <w:t>3.71%.</w:t>
      </w:r>
    </w:p>
    <w:p w:rsidR="00D93772" w:rsidRPr="001B2729" w:rsidRDefault="00D93772" w:rsidP="001B2729">
      <w:pPr>
        <w:pStyle w:val="ListParagraph"/>
        <w:jc w:val="both"/>
        <w:rPr>
          <w:rFonts w:ascii="Garamond" w:hAnsi="Garamond" w:cs="Arial"/>
          <w:bCs/>
        </w:rPr>
      </w:pPr>
    </w:p>
    <w:p w:rsidR="00F410C0" w:rsidRPr="00747DCB" w:rsidRDefault="00F410C0" w:rsidP="00C616CE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747DCB">
        <w:rPr>
          <w:rFonts w:ascii="Garamond" w:hAnsi="Garamond" w:cs="Arial"/>
          <w:b/>
          <w:bCs/>
        </w:rPr>
        <w:t>EXEMPT – Texas Department of Housing and Community Affairs Multifamily Housing Mortgage Revenue Refunding Bonds (Parkview Townhomes) Series 2003</w:t>
      </w:r>
    </w:p>
    <w:p w:rsidR="00F410C0" w:rsidRDefault="00F410C0" w:rsidP="00F410C0">
      <w:pPr>
        <w:pStyle w:val="ListParagraph"/>
        <w:rPr>
          <w:rFonts w:ascii="Garamond" w:hAnsi="Garamond" w:cs="Arial"/>
          <w:bCs/>
        </w:rPr>
      </w:pPr>
    </w:p>
    <w:p w:rsidR="00782335" w:rsidRPr="00782335" w:rsidRDefault="00782335" w:rsidP="00C947A3">
      <w:pPr>
        <w:pStyle w:val="ListParagraph"/>
        <w:jc w:val="both"/>
        <w:rPr>
          <w:rFonts w:ascii="Garamond" w:hAnsi="Garamond" w:cs="Arial"/>
          <w:bCs/>
        </w:rPr>
      </w:pPr>
      <w:r w:rsidRPr="00747DCB">
        <w:rPr>
          <w:rFonts w:ascii="Garamond" w:hAnsi="Garamond" w:cs="Arial"/>
          <w:bCs/>
        </w:rPr>
        <w:t>Representatives present were: Cameron Dorsey, Director of Multifamily Finance, TDHCA;</w:t>
      </w:r>
      <w:r w:rsidR="00C947A3" w:rsidRPr="00747DCB">
        <w:rPr>
          <w:rFonts w:ascii="Garamond" w:hAnsi="Garamond" w:cs="Arial"/>
          <w:bCs/>
        </w:rPr>
        <w:t xml:space="preserve"> </w:t>
      </w:r>
      <w:r w:rsidRPr="00747DCB">
        <w:rPr>
          <w:rFonts w:ascii="Garamond" w:hAnsi="Garamond" w:cs="Arial"/>
          <w:bCs/>
        </w:rPr>
        <w:t>Elizabeth Bowes, Bracewell &amp; Giuliani LLP; Gary Machak, Raymond James</w:t>
      </w:r>
      <w:r w:rsidR="00C947A3" w:rsidRPr="00747DCB">
        <w:rPr>
          <w:rFonts w:ascii="Garamond" w:hAnsi="Garamond" w:cs="Arial"/>
          <w:bCs/>
        </w:rPr>
        <w:t xml:space="preserve">; </w:t>
      </w:r>
      <w:r w:rsidRPr="00747DCB">
        <w:rPr>
          <w:rFonts w:ascii="Garamond" w:hAnsi="Garamond" w:cs="Arial"/>
          <w:bCs/>
        </w:rPr>
        <w:t>Barton Withrow, Morgan Keegan</w:t>
      </w:r>
      <w:r w:rsidR="00C947A3" w:rsidRPr="00747DCB">
        <w:rPr>
          <w:rFonts w:ascii="Garamond" w:hAnsi="Garamond" w:cs="Arial"/>
          <w:bCs/>
        </w:rPr>
        <w:t xml:space="preserve">; </w:t>
      </w:r>
      <w:r w:rsidRPr="00747DCB">
        <w:rPr>
          <w:rFonts w:ascii="Garamond" w:hAnsi="Garamond" w:cs="Arial"/>
          <w:bCs/>
        </w:rPr>
        <w:t>Megan Goodfellow</w:t>
      </w:r>
      <w:r w:rsidR="00C947A3" w:rsidRPr="00747DCB">
        <w:rPr>
          <w:rFonts w:ascii="Garamond" w:hAnsi="Garamond" w:cs="Arial"/>
          <w:bCs/>
        </w:rPr>
        <w:t xml:space="preserve">, Centerline; and </w:t>
      </w:r>
      <w:r w:rsidRPr="00747DCB">
        <w:rPr>
          <w:rFonts w:ascii="Garamond" w:hAnsi="Garamond" w:cs="Arial"/>
          <w:bCs/>
        </w:rPr>
        <w:t>Cynthia Bast</w:t>
      </w:r>
      <w:r w:rsidR="00C947A3" w:rsidRPr="00747DCB">
        <w:rPr>
          <w:rFonts w:ascii="Garamond" w:hAnsi="Garamond" w:cs="Arial"/>
          <w:bCs/>
        </w:rPr>
        <w:t>, Locke Lord</w:t>
      </w:r>
      <w:r w:rsidR="00C947A3">
        <w:rPr>
          <w:rFonts w:ascii="Garamond" w:hAnsi="Garamond" w:cs="Arial"/>
          <w:bCs/>
        </w:rPr>
        <w:t>.</w:t>
      </w:r>
      <w:r w:rsidRPr="00782335">
        <w:rPr>
          <w:rFonts w:ascii="Garamond" w:hAnsi="Garamond" w:cs="Arial"/>
          <w:bCs/>
        </w:rPr>
        <w:t xml:space="preserve"> </w:t>
      </w:r>
    </w:p>
    <w:p w:rsidR="00782335" w:rsidRDefault="00782335" w:rsidP="00F410C0">
      <w:pPr>
        <w:pStyle w:val="ListParagraph"/>
        <w:rPr>
          <w:rFonts w:ascii="Garamond" w:hAnsi="Garamond" w:cs="Arial"/>
          <w:bCs/>
        </w:rPr>
      </w:pPr>
    </w:p>
    <w:p w:rsidR="00782335" w:rsidRDefault="004A5881" w:rsidP="004A5881">
      <w:pPr>
        <w:pStyle w:val="ListParagraph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This transaction</w:t>
      </w:r>
      <w:r w:rsidR="00135333">
        <w:rPr>
          <w:rFonts w:ascii="Garamond" w:hAnsi="Garamond" w:cs="Arial"/>
          <w:bCs/>
        </w:rPr>
        <w:t>,</w:t>
      </w:r>
      <w:r>
        <w:rPr>
          <w:rFonts w:ascii="Garamond" w:hAnsi="Garamond" w:cs="Arial"/>
          <w:bCs/>
        </w:rPr>
        <w:t xml:space="preserve"> along with the other two TDHCA </w:t>
      </w:r>
      <w:r w:rsidR="00133BE5">
        <w:rPr>
          <w:rFonts w:ascii="Garamond" w:hAnsi="Garamond" w:cs="Arial"/>
          <w:bCs/>
        </w:rPr>
        <w:t xml:space="preserve">exempt </w:t>
      </w:r>
      <w:r>
        <w:rPr>
          <w:rFonts w:ascii="Garamond" w:hAnsi="Garamond" w:cs="Arial"/>
          <w:bCs/>
        </w:rPr>
        <w:t>transactions</w:t>
      </w:r>
      <w:r w:rsidR="00135333">
        <w:rPr>
          <w:rFonts w:ascii="Garamond" w:hAnsi="Garamond" w:cs="Arial"/>
          <w:bCs/>
        </w:rPr>
        <w:t xml:space="preserve"> (see below)</w:t>
      </w:r>
      <w:r>
        <w:rPr>
          <w:rFonts w:ascii="Garamond" w:hAnsi="Garamond" w:cs="Arial"/>
          <w:bCs/>
        </w:rPr>
        <w:t xml:space="preserve"> </w:t>
      </w:r>
      <w:r w:rsidR="00135333">
        <w:rPr>
          <w:rFonts w:ascii="Garamond" w:hAnsi="Garamond" w:cs="Arial"/>
          <w:bCs/>
        </w:rPr>
        <w:t>is</w:t>
      </w:r>
      <w:r>
        <w:rPr>
          <w:rFonts w:ascii="Garamond" w:hAnsi="Garamond" w:cs="Arial"/>
          <w:bCs/>
        </w:rPr>
        <w:t xml:space="preserve"> part of a </w:t>
      </w:r>
      <w:r w:rsidR="00135333">
        <w:rPr>
          <w:rFonts w:ascii="Garamond" w:hAnsi="Garamond" w:cs="Arial"/>
          <w:bCs/>
        </w:rPr>
        <w:t xml:space="preserve">portfolio of properties to be restructured </w:t>
      </w:r>
      <w:r w:rsidR="00192220">
        <w:rPr>
          <w:rFonts w:ascii="Garamond" w:hAnsi="Garamond" w:cs="Arial"/>
          <w:bCs/>
        </w:rPr>
        <w:t>to</w:t>
      </w:r>
      <w:r>
        <w:rPr>
          <w:rFonts w:ascii="Garamond" w:hAnsi="Garamond" w:cs="Arial"/>
          <w:bCs/>
        </w:rPr>
        <w:t xml:space="preserve"> bifurcate the interest rate into two </w:t>
      </w:r>
      <w:r w:rsidR="00135333">
        <w:rPr>
          <w:rFonts w:ascii="Garamond" w:hAnsi="Garamond" w:cs="Arial"/>
          <w:bCs/>
        </w:rPr>
        <w:t xml:space="preserve">separate </w:t>
      </w:r>
      <w:r>
        <w:rPr>
          <w:rFonts w:ascii="Garamond" w:hAnsi="Garamond" w:cs="Arial"/>
          <w:bCs/>
        </w:rPr>
        <w:t>components</w:t>
      </w:r>
      <w:r w:rsidR="00133BE5">
        <w:rPr>
          <w:rFonts w:ascii="Garamond" w:hAnsi="Garamond" w:cs="Arial"/>
          <w:bCs/>
        </w:rPr>
        <w:t xml:space="preserve"> and </w:t>
      </w:r>
      <w:r w:rsidR="00135333">
        <w:rPr>
          <w:rFonts w:ascii="Garamond" w:hAnsi="Garamond" w:cs="Arial"/>
          <w:bCs/>
        </w:rPr>
        <w:t xml:space="preserve">redeem </w:t>
      </w:r>
      <w:r w:rsidR="00133BE5">
        <w:rPr>
          <w:rFonts w:ascii="Garamond" w:hAnsi="Garamond" w:cs="Arial"/>
          <w:bCs/>
        </w:rPr>
        <w:t xml:space="preserve">a portion of outstanding debt </w:t>
      </w:r>
      <w:r w:rsidR="00135333">
        <w:rPr>
          <w:rFonts w:ascii="Garamond" w:hAnsi="Garamond" w:cs="Arial"/>
          <w:bCs/>
        </w:rPr>
        <w:t>to</w:t>
      </w:r>
      <w:r>
        <w:rPr>
          <w:rFonts w:ascii="Garamond" w:hAnsi="Garamond" w:cs="Arial"/>
          <w:bCs/>
        </w:rPr>
        <w:t xml:space="preserve"> </w:t>
      </w:r>
      <w:r w:rsidR="00135333">
        <w:rPr>
          <w:rFonts w:ascii="Garamond" w:hAnsi="Garamond" w:cs="Arial"/>
          <w:bCs/>
        </w:rPr>
        <w:t xml:space="preserve">provide sufficient cash flow for debt </w:t>
      </w:r>
      <w:r>
        <w:rPr>
          <w:rFonts w:ascii="Garamond" w:hAnsi="Garamond" w:cs="Arial"/>
          <w:bCs/>
        </w:rPr>
        <w:t xml:space="preserve">service </w:t>
      </w:r>
      <w:r w:rsidR="00135333">
        <w:rPr>
          <w:rFonts w:ascii="Garamond" w:hAnsi="Garamond" w:cs="Arial"/>
          <w:bCs/>
        </w:rPr>
        <w:t>and operations</w:t>
      </w:r>
      <w:r w:rsidR="00192220">
        <w:rPr>
          <w:rFonts w:ascii="Garamond" w:hAnsi="Garamond" w:cs="Arial"/>
          <w:bCs/>
        </w:rPr>
        <w:t>.</w:t>
      </w:r>
    </w:p>
    <w:p w:rsidR="004A5881" w:rsidRDefault="004A5881" w:rsidP="004A5881">
      <w:pPr>
        <w:pStyle w:val="ListParagraph"/>
        <w:jc w:val="both"/>
        <w:rPr>
          <w:rFonts w:ascii="Garamond" w:hAnsi="Garamond" w:cs="Arial"/>
          <w:bCs/>
        </w:rPr>
      </w:pPr>
    </w:p>
    <w:p w:rsidR="004A5881" w:rsidRPr="00BE6BEF" w:rsidRDefault="004A5881" w:rsidP="004A5881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  <w:r w:rsidRPr="00BE6BEF">
        <w:rPr>
          <w:rFonts w:ascii="Garamond" w:hAnsi="Garamond" w:cs="TimesNewRomanPSMT"/>
        </w:rPr>
        <w:t xml:space="preserve">TDHCA and the Office of the Attorney General (OAG) have determined that the modifications are sufficiently material to constitute a reissuance under state law that requires approval by TDHCA, BRB and OAG. </w:t>
      </w:r>
    </w:p>
    <w:p w:rsidR="004A5881" w:rsidRPr="00F410C0" w:rsidRDefault="004A5881" w:rsidP="00F410C0">
      <w:pPr>
        <w:pStyle w:val="ListParagraph"/>
        <w:rPr>
          <w:rFonts w:ascii="Garamond" w:hAnsi="Garamond" w:cs="Arial"/>
          <w:bCs/>
        </w:rPr>
      </w:pPr>
    </w:p>
    <w:p w:rsidR="00F410C0" w:rsidRPr="00747DCB" w:rsidRDefault="00F410C0" w:rsidP="00F410C0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747DCB">
        <w:rPr>
          <w:rFonts w:ascii="Garamond" w:hAnsi="Garamond" w:cs="Arial"/>
          <w:b/>
          <w:bCs/>
        </w:rPr>
        <w:t>EXEMPT – Texas Department of Housing and Community Affairs Multifamily Housing Mortgage Revenue Refunding Bonds (Providence at Veteran’s Memorial) Series 2004</w:t>
      </w:r>
    </w:p>
    <w:p w:rsidR="00747DCB" w:rsidRDefault="00747DCB" w:rsidP="00747DCB">
      <w:pPr>
        <w:pStyle w:val="ListParagraph"/>
        <w:jc w:val="both"/>
        <w:rPr>
          <w:rFonts w:ascii="Garamond" w:hAnsi="Garamond" w:cs="Arial"/>
          <w:bCs/>
          <w:u w:val="single"/>
        </w:rPr>
      </w:pPr>
    </w:p>
    <w:p w:rsidR="00747DCB" w:rsidRPr="00747DCB" w:rsidRDefault="00747DCB" w:rsidP="00747DCB">
      <w:pPr>
        <w:pStyle w:val="ListParagraph"/>
        <w:jc w:val="both"/>
        <w:rPr>
          <w:rFonts w:ascii="Garamond" w:hAnsi="Garamond" w:cs="Arial"/>
          <w:bCs/>
        </w:rPr>
      </w:pPr>
      <w:r w:rsidRPr="00747DCB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F410C0" w:rsidRPr="00F410C0" w:rsidRDefault="00F410C0" w:rsidP="00F410C0">
      <w:pPr>
        <w:pStyle w:val="ListParagraph"/>
        <w:rPr>
          <w:rFonts w:ascii="Garamond" w:hAnsi="Garamond" w:cs="Arial"/>
          <w:bCs/>
        </w:rPr>
      </w:pPr>
    </w:p>
    <w:p w:rsidR="00F410C0" w:rsidRPr="00747DCB" w:rsidRDefault="00F410C0" w:rsidP="00F410C0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747DCB">
        <w:rPr>
          <w:rFonts w:ascii="Garamond" w:hAnsi="Garamond" w:cs="Arial"/>
          <w:b/>
          <w:bCs/>
        </w:rPr>
        <w:t>EXEMPT – Texas Department of Housing and Community Affairs Multifamily Housing Mortgage Revenue Refunding Bonds (Timber Oaks Apartments) Series 2003</w:t>
      </w:r>
    </w:p>
    <w:p w:rsidR="007F3EC1" w:rsidRDefault="007F3EC1" w:rsidP="00752CA9">
      <w:pPr>
        <w:pStyle w:val="ListParagraph"/>
        <w:jc w:val="both"/>
        <w:rPr>
          <w:rFonts w:ascii="Garamond" w:hAnsi="Garamond" w:cs="Arial"/>
          <w:bCs/>
          <w:highlight w:val="yellow"/>
        </w:rPr>
      </w:pPr>
    </w:p>
    <w:p w:rsidR="00747DCB" w:rsidRPr="00747DCB" w:rsidRDefault="00747DCB" w:rsidP="00747DCB">
      <w:pPr>
        <w:pStyle w:val="ListParagraph"/>
        <w:jc w:val="both"/>
        <w:rPr>
          <w:rFonts w:ascii="Garamond" w:hAnsi="Garamond" w:cs="Arial"/>
          <w:bCs/>
        </w:rPr>
      </w:pPr>
      <w:r w:rsidRPr="00747DCB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747DCB" w:rsidRPr="00747DCB" w:rsidRDefault="00747DCB" w:rsidP="00752CA9">
      <w:pPr>
        <w:pStyle w:val="ListParagraph"/>
        <w:jc w:val="both"/>
        <w:rPr>
          <w:rFonts w:ascii="Garamond" w:hAnsi="Garamond" w:cs="Arial"/>
          <w:bCs/>
        </w:rPr>
      </w:pPr>
    </w:p>
    <w:p w:rsidR="005D468A" w:rsidRPr="00FF7D91" w:rsidRDefault="005D468A" w:rsidP="005D468A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Public Comment</w:t>
      </w:r>
    </w:p>
    <w:p w:rsidR="00B46550" w:rsidRDefault="00B46550" w:rsidP="00752CA9">
      <w:pPr>
        <w:pStyle w:val="ListParagraph"/>
        <w:jc w:val="both"/>
        <w:rPr>
          <w:rFonts w:ascii="Garamond" w:hAnsi="Garamond"/>
        </w:rPr>
      </w:pP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There </w:t>
      </w:r>
      <w:r w:rsidR="00527C37">
        <w:rPr>
          <w:rFonts w:ascii="Garamond" w:hAnsi="Garamond"/>
        </w:rPr>
        <w:t>was</w:t>
      </w:r>
      <w:r>
        <w:rPr>
          <w:rFonts w:ascii="Garamond" w:hAnsi="Garamond"/>
        </w:rPr>
        <w:t xml:space="preserve"> no public comment.</w:t>
      </w: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Date for Next Board Meeting</w:t>
      </w:r>
    </w:p>
    <w:p w:rsidR="000D1699" w:rsidRDefault="000D1699" w:rsidP="00FF7D91">
      <w:pPr>
        <w:pStyle w:val="ListParagraph"/>
        <w:jc w:val="both"/>
        <w:rPr>
          <w:rFonts w:ascii="Garamond" w:hAnsi="Garamond"/>
        </w:rPr>
      </w:pPr>
    </w:p>
    <w:p w:rsidR="00FF7D91" w:rsidRPr="00EF5FE3" w:rsidRDefault="00FF7D91" w:rsidP="00FF7D91">
      <w:pPr>
        <w:pStyle w:val="ListParagraph"/>
        <w:jc w:val="both"/>
        <w:rPr>
          <w:rFonts w:ascii="Garamond" w:hAnsi="Garamond"/>
        </w:rPr>
      </w:pPr>
      <w:r w:rsidRPr="00EF5FE3">
        <w:rPr>
          <w:rFonts w:ascii="Garamond" w:hAnsi="Garamond"/>
        </w:rPr>
        <w:t xml:space="preserve">The next scheduled Board Meeting is </w:t>
      </w:r>
      <w:r>
        <w:rPr>
          <w:rFonts w:ascii="Garamond" w:hAnsi="Garamond"/>
        </w:rPr>
        <w:t>Thursday, May 17</w:t>
      </w:r>
      <w:r w:rsidRPr="00EF5FE3">
        <w:rPr>
          <w:rFonts w:ascii="Garamond" w:hAnsi="Garamond"/>
        </w:rPr>
        <w:t>, 201</w:t>
      </w:r>
      <w:r>
        <w:rPr>
          <w:rFonts w:ascii="Garamond" w:hAnsi="Garamond"/>
        </w:rPr>
        <w:t>2</w:t>
      </w:r>
      <w:r w:rsidRPr="00EF5FE3">
        <w:rPr>
          <w:rFonts w:ascii="Garamond" w:hAnsi="Garamond"/>
        </w:rPr>
        <w:t>.</w:t>
      </w:r>
    </w:p>
    <w:p w:rsidR="00B46550" w:rsidRDefault="00B46550" w:rsidP="00B46550">
      <w:pPr>
        <w:pStyle w:val="ListParagraph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Items for Future Agendas</w:t>
      </w:r>
    </w:p>
    <w:p w:rsidR="00B46550" w:rsidRDefault="00B46550" w:rsidP="00752CA9">
      <w:pPr>
        <w:pStyle w:val="ListParagraph"/>
        <w:jc w:val="both"/>
        <w:rPr>
          <w:rFonts w:ascii="Garamond" w:hAnsi="Garamond"/>
        </w:rPr>
      </w:pPr>
    </w:p>
    <w:p w:rsidR="00FF7D91" w:rsidRPr="00FF7D91" w:rsidRDefault="00FF7D91" w:rsidP="00FF7D91">
      <w:pPr>
        <w:pStyle w:val="ListParagraph"/>
        <w:rPr>
          <w:rFonts w:ascii="Garamond" w:hAnsi="Garamond"/>
        </w:rPr>
      </w:pPr>
      <w:r w:rsidRPr="00FF7D91">
        <w:rPr>
          <w:rFonts w:ascii="Garamond" w:hAnsi="Garamond"/>
        </w:rPr>
        <w:t>An updated list detailing future bond transactions was handed out.</w:t>
      </w: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Report from the Executive Director</w:t>
      </w:r>
    </w:p>
    <w:p w:rsidR="00B46550" w:rsidRDefault="00B46550" w:rsidP="00B46550">
      <w:pPr>
        <w:pStyle w:val="ListParagraph"/>
        <w:jc w:val="both"/>
        <w:rPr>
          <w:rFonts w:ascii="Garamond" w:hAnsi="Garamond"/>
        </w:rPr>
      </w:pPr>
    </w:p>
    <w:p w:rsidR="000D1699" w:rsidRDefault="000D1699" w:rsidP="000D1699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Local Debt Report was distributed to </w:t>
      </w:r>
      <w:r w:rsidR="006372C3">
        <w:rPr>
          <w:rFonts w:ascii="Garamond" w:hAnsi="Garamond"/>
        </w:rPr>
        <w:t xml:space="preserve">the </w:t>
      </w:r>
      <w:r w:rsidR="00FF7064">
        <w:rPr>
          <w:rFonts w:ascii="Garamond" w:hAnsi="Garamond"/>
        </w:rPr>
        <w:t xml:space="preserve">Board </w:t>
      </w:r>
      <w:r w:rsidR="00135333">
        <w:rPr>
          <w:rFonts w:ascii="Garamond" w:hAnsi="Garamond"/>
        </w:rPr>
        <w:t>A</w:t>
      </w:r>
      <w:r w:rsidR="006372C3">
        <w:rPr>
          <w:rFonts w:ascii="Garamond" w:hAnsi="Garamond"/>
        </w:rPr>
        <w:t>lternate</w:t>
      </w:r>
      <w:r w:rsidR="00FF7064">
        <w:rPr>
          <w:rFonts w:ascii="Garamond" w:hAnsi="Garamond"/>
        </w:rPr>
        <w:t>s</w:t>
      </w:r>
      <w:r>
        <w:rPr>
          <w:rFonts w:ascii="Garamond" w:hAnsi="Garamond"/>
        </w:rPr>
        <w:t xml:space="preserve"> on Friday May 4.</w:t>
      </w:r>
    </w:p>
    <w:p w:rsidR="000D1699" w:rsidRDefault="000D1699" w:rsidP="000D1699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Hurricane Ike authority expires at the end of this calendar year and to date $1.17 billion of the $1.86 billion in</w:t>
      </w:r>
      <w:r w:rsidR="00FF7064">
        <w:rPr>
          <w:rFonts w:ascii="Garamond" w:hAnsi="Garamond"/>
        </w:rPr>
        <w:t xml:space="preserve"> authority</w:t>
      </w:r>
      <w:r>
        <w:rPr>
          <w:rFonts w:ascii="Garamond" w:hAnsi="Garamond"/>
        </w:rPr>
        <w:t xml:space="preserve"> has been allocated.</w:t>
      </w:r>
    </w:p>
    <w:p w:rsidR="000D1699" w:rsidRPr="000D1699" w:rsidRDefault="000D1699" w:rsidP="000D1699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962C4D">
        <w:rPr>
          <w:rFonts w:ascii="Garamond" w:hAnsi="Garamond"/>
        </w:rPr>
        <w:t xml:space="preserve">next </w:t>
      </w:r>
      <w:r>
        <w:rPr>
          <w:rFonts w:ascii="Garamond" w:hAnsi="Garamond"/>
        </w:rPr>
        <w:t xml:space="preserve">Capital Expenditure Plan training session </w:t>
      </w:r>
      <w:r w:rsidR="00962C4D">
        <w:rPr>
          <w:rFonts w:ascii="Garamond" w:hAnsi="Garamond"/>
        </w:rPr>
        <w:t>is on May 10</w:t>
      </w:r>
      <w:r w:rsidR="00135333">
        <w:rPr>
          <w:rFonts w:ascii="Garamond" w:hAnsi="Garamond"/>
        </w:rPr>
        <w:t>. T</w:t>
      </w:r>
      <w:r>
        <w:rPr>
          <w:rFonts w:ascii="Garamond" w:hAnsi="Garamond"/>
        </w:rPr>
        <w:t>he CEP is due September 1.</w:t>
      </w:r>
    </w:p>
    <w:p w:rsidR="000D1699" w:rsidRPr="00226202" w:rsidRDefault="000D1699" w:rsidP="00B46550">
      <w:pPr>
        <w:pStyle w:val="ListParagraph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Adjourn</w:t>
      </w:r>
    </w:p>
    <w:p w:rsidR="00B46550" w:rsidRDefault="00B46550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FF7D91" w:rsidRPr="000D1699" w:rsidRDefault="00FF7D91" w:rsidP="00FF7D9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</w:rPr>
      </w:pPr>
      <w:r w:rsidRPr="00FF7D91">
        <w:rPr>
          <w:rFonts w:ascii="Garamond" w:hAnsi="Garamond"/>
        </w:rPr>
        <w:tab/>
        <w:t xml:space="preserve">There being no further business to discuss, the planning session adjourned at </w:t>
      </w:r>
      <w:r w:rsidRPr="000D1699">
        <w:rPr>
          <w:rFonts w:ascii="Garamond" w:hAnsi="Garamond"/>
        </w:rPr>
        <w:t>10:</w:t>
      </w:r>
      <w:r w:rsidR="00AA1916" w:rsidRPr="000D1699">
        <w:rPr>
          <w:rFonts w:ascii="Garamond" w:hAnsi="Garamond"/>
        </w:rPr>
        <w:t>42</w:t>
      </w:r>
      <w:r w:rsidRPr="000D1699">
        <w:rPr>
          <w:rFonts w:ascii="Garamond" w:hAnsi="Garamond"/>
        </w:rPr>
        <w:t xml:space="preserve"> a.m.</w:t>
      </w:r>
    </w:p>
    <w:p w:rsidR="00FF7D91" w:rsidRPr="005D468A" w:rsidRDefault="00FF7D91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sectPr w:rsidR="00FF7D91" w:rsidRPr="005D468A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33" w:rsidRDefault="00135333">
      <w:r>
        <w:separator/>
      </w:r>
    </w:p>
  </w:endnote>
  <w:endnote w:type="continuationSeparator" w:id="0">
    <w:p w:rsidR="00135333" w:rsidRDefault="0013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48" w:rsidRDefault="00F63C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48" w:rsidRDefault="00F63C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48" w:rsidRDefault="00F63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33" w:rsidRDefault="00135333">
      <w:r>
        <w:separator/>
      </w:r>
    </w:p>
  </w:footnote>
  <w:footnote w:type="continuationSeparator" w:id="0">
    <w:p w:rsidR="00135333" w:rsidRDefault="00135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48" w:rsidRDefault="00F63C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33" w:rsidRDefault="00135333">
    <w:pPr>
      <w:pStyle w:val="Header"/>
    </w:pPr>
  </w:p>
  <w:p w:rsidR="00135333" w:rsidRDefault="001353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48" w:rsidRDefault="00F63C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148EE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7"/>
  </w:num>
  <w:num w:numId="5">
    <w:abstractNumId w:val="10"/>
  </w:num>
  <w:num w:numId="6">
    <w:abstractNumId w:val="12"/>
  </w:num>
  <w:num w:numId="7">
    <w:abstractNumId w:val="15"/>
  </w:num>
  <w:num w:numId="8">
    <w:abstractNumId w:val="4"/>
  </w:num>
  <w:num w:numId="9">
    <w:abstractNumId w:val="20"/>
  </w:num>
  <w:num w:numId="10">
    <w:abstractNumId w:val="9"/>
  </w:num>
  <w:num w:numId="11">
    <w:abstractNumId w:val="1"/>
  </w:num>
  <w:num w:numId="12">
    <w:abstractNumId w:val="2"/>
  </w:num>
  <w:num w:numId="13">
    <w:abstractNumId w:val="19"/>
  </w:num>
  <w:num w:numId="14">
    <w:abstractNumId w:val="14"/>
  </w:num>
  <w:num w:numId="15">
    <w:abstractNumId w:val="18"/>
  </w:num>
  <w:num w:numId="16">
    <w:abstractNumId w:val="11"/>
  </w:num>
  <w:num w:numId="17">
    <w:abstractNumId w:val="13"/>
  </w:num>
  <w:num w:numId="18">
    <w:abstractNumId w:val="0"/>
  </w:num>
  <w:num w:numId="19">
    <w:abstractNumId w:val="8"/>
  </w:num>
  <w:num w:numId="20">
    <w:abstractNumId w:val="5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74E3"/>
    <w:rsid w:val="00030DFF"/>
    <w:rsid w:val="0003194C"/>
    <w:rsid w:val="00037BA0"/>
    <w:rsid w:val="0004011E"/>
    <w:rsid w:val="00043E8E"/>
    <w:rsid w:val="0004679F"/>
    <w:rsid w:val="000478E2"/>
    <w:rsid w:val="00050A28"/>
    <w:rsid w:val="00051FF8"/>
    <w:rsid w:val="00052879"/>
    <w:rsid w:val="00054F19"/>
    <w:rsid w:val="000640D7"/>
    <w:rsid w:val="00070A38"/>
    <w:rsid w:val="00076DEE"/>
    <w:rsid w:val="000804DD"/>
    <w:rsid w:val="00085668"/>
    <w:rsid w:val="0008736A"/>
    <w:rsid w:val="00087788"/>
    <w:rsid w:val="0009154F"/>
    <w:rsid w:val="00094A13"/>
    <w:rsid w:val="00096B48"/>
    <w:rsid w:val="00097FA5"/>
    <w:rsid w:val="000B0CD4"/>
    <w:rsid w:val="000B1FF6"/>
    <w:rsid w:val="000B318A"/>
    <w:rsid w:val="000B61E5"/>
    <w:rsid w:val="000B7D02"/>
    <w:rsid w:val="000C048A"/>
    <w:rsid w:val="000C75C9"/>
    <w:rsid w:val="000D1699"/>
    <w:rsid w:val="000D42A0"/>
    <w:rsid w:val="000E10C1"/>
    <w:rsid w:val="000E1466"/>
    <w:rsid w:val="000F37AD"/>
    <w:rsid w:val="000F7139"/>
    <w:rsid w:val="00102684"/>
    <w:rsid w:val="001050A5"/>
    <w:rsid w:val="00107773"/>
    <w:rsid w:val="00123201"/>
    <w:rsid w:val="00127C6C"/>
    <w:rsid w:val="00130BBE"/>
    <w:rsid w:val="00133BE5"/>
    <w:rsid w:val="00135333"/>
    <w:rsid w:val="001433DF"/>
    <w:rsid w:val="00144D9F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2220"/>
    <w:rsid w:val="00192863"/>
    <w:rsid w:val="001977F6"/>
    <w:rsid w:val="001A0788"/>
    <w:rsid w:val="001A5FCA"/>
    <w:rsid w:val="001B08EF"/>
    <w:rsid w:val="001B2729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7B6E"/>
    <w:rsid w:val="00232363"/>
    <w:rsid w:val="00233E69"/>
    <w:rsid w:val="0023659F"/>
    <w:rsid w:val="00241982"/>
    <w:rsid w:val="00244CAD"/>
    <w:rsid w:val="00250E66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4304"/>
    <w:rsid w:val="00344D88"/>
    <w:rsid w:val="003450B7"/>
    <w:rsid w:val="00351AC9"/>
    <w:rsid w:val="00352649"/>
    <w:rsid w:val="00367592"/>
    <w:rsid w:val="0037051B"/>
    <w:rsid w:val="003715CC"/>
    <w:rsid w:val="00374D91"/>
    <w:rsid w:val="00377F53"/>
    <w:rsid w:val="00382CED"/>
    <w:rsid w:val="0038359C"/>
    <w:rsid w:val="0038677D"/>
    <w:rsid w:val="003867F3"/>
    <w:rsid w:val="00390E1A"/>
    <w:rsid w:val="003A5F50"/>
    <w:rsid w:val="003A6C3B"/>
    <w:rsid w:val="003C1074"/>
    <w:rsid w:val="003C4FAE"/>
    <w:rsid w:val="003D14E5"/>
    <w:rsid w:val="003D5899"/>
    <w:rsid w:val="003D7C12"/>
    <w:rsid w:val="003E4659"/>
    <w:rsid w:val="003E62AB"/>
    <w:rsid w:val="003F06CE"/>
    <w:rsid w:val="003F65AE"/>
    <w:rsid w:val="00401204"/>
    <w:rsid w:val="00403E16"/>
    <w:rsid w:val="004143B2"/>
    <w:rsid w:val="00415A74"/>
    <w:rsid w:val="004223D0"/>
    <w:rsid w:val="00423C52"/>
    <w:rsid w:val="00426CEA"/>
    <w:rsid w:val="00435AAD"/>
    <w:rsid w:val="00442660"/>
    <w:rsid w:val="0044329D"/>
    <w:rsid w:val="0044460F"/>
    <w:rsid w:val="0045498D"/>
    <w:rsid w:val="00457823"/>
    <w:rsid w:val="004601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A5881"/>
    <w:rsid w:val="004B0775"/>
    <w:rsid w:val="004B078D"/>
    <w:rsid w:val="004C747A"/>
    <w:rsid w:val="004D29AF"/>
    <w:rsid w:val="004D6A06"/>
    <w:rsid w:val="004E1AA9"/>
    <w:rsid w:val="004E1C0E"/>
    <w:rsid w:val="004E4D60"/>
    <w:rsid w:val="004E602E"/>
    <w:rsid w:val="004F71F1"/>
    <w:rsid w:val="005012FD"/>
    <w:rsid w:val="00515088"/>
    <w:rsid w:val="00517FE4"/>
    <w:rsid w:val="005224A3"/>
    <w:rsid w:val="005234B4"/>
    <w:rsid w:val="00523C04"/>
    <w:rsid w:val="00525C48"/>
    <w:rsid w:val="00527C37"/>
    <w:rsid w:val="0053278F"/>
    <w:rsid w:val="005427BD"/>
    <w:rsid w:val="0054345D"/>
    <w:rsid w:val="0054473D"/>
    <w:rsid w:val="00551578"/>
    <w:rsid w:val="005610C5"/>
    <w:rsid w:val="00563D4A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B3A67"/>
    <w:rsid w:val="006B6FC1"/>
    <w:rsid w:val="006D283D"/>
    <w:rsid w:val="006D2D8A"/>
    <w:rsid w:val="006D5D88"/>
    <w:rsid w:val="006E142E"/>
    <w:rsid w:val="006E29FE"/>
    <w:rsid w:val="006E2D7F"/>
    <w:rsid w:val="006F1B74"/>
    <w:rsid w:val="007126B0"/>
    <w:rsid w:val="00714370"/>
    <w:rsid w:val="00715BC7"/>
    <w:rsid w:val="0071624E"/>
    <w:rsid w:val="00724B7A"/>
    <w:rsid w:val="007258EE"/>
    <w:rsid w:val="00731DEF"/>
    <w:rsid w:val="007341B6"/>
    <w:rsid w:val="00737264"/>
    <w:rsid w:val="007419A8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726CD"/>
    <w:rsid w:val="007732B6"/>
    <w:rsid w:val="00782335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1F5E"/>
    <w:rsid w:val="008B1974"/>
    <w:rsid w:val="008B2703"/>
    <w:rsid w:val="008B3442"/>
    <w:rsid w:val="008D1D7F"/>
    <w:rsid w:val="008D37A1"/>
    <w:rsid w:val="008E2131"/>
    <w:rsid w:val="008E2FEA"/>
    <w:rsid w:val="008E4939"/>
    <w:rsid w:val="008E5C7B"/>
    <w:rsid w:val="008E6D62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3BA3"/>
    <w:rsid w:val="00946F5C"/>
    <w:rsid w:val="00951282"/>
    <w:rsid w:val="009535EA"/>
    <w:rsid w:val="0095454C"/>
    <w:rsid w:val="00962C4D"/>
    <w:rsid w:val="00972436"/>
    <w:rsid w:val="009738E7"/>
    <w:rsid w:val="009751BD"/>
    <w:rsid w:val="00990AA2"/>
    <w:rsid w:val="00995E2E"/>
    <w:rsid w:val="00996D65"/>
    <w:rsid w:val="00997C62"/>
    <w:rsid w:val="009B030E"/>
    <w:rsid w:val="009B53B3"/>
    <w:rsid w:val="009B7A27"/>
    <w:rsid w:val="009C0A95"/>
    <w:rsid w:val="009C6B7E"/>
    <w:rsid w:val="009C73E5"/>
    <w:rsid w:val="009D26C6"/>
    <w:rsid w:val="009D31B5"/>
    <w:rsid w:val="009D3FD6"/>
    <w:rsid w:val="009D6EAE"/>
    <w:rsid w:val="009E1E01"/>
    <w:rsid w:val="009F3149"/>
    <w:rsid w:val="00A025B3"/>
    <w:rsid w:val="00A027A7"/>
    <w:rsid w:val="00A03927"/>
    <w:rsid w:val="00A06034"/>
    <w:rsid w:val="00A14D8A"/>
    <w:rsid w:val="00A17595"/>
    <w:rsid w:val="00A20488"/>
    <w:rsid w:val="00A214E4"/>
    <w:rsid w:val="00A21729"/>
    <w:rsid w:val="00A27015"/>
    <w:rsid w:val="00A2747D"/>
    <w:rsid w:val="00A27B81"/>
    <w:rsid w:val="00A3619C"/>
    <w:rsid w:val="00A36A14"/>
    <w:rsid w:val="00A46588"/>
    <w:rsid w:val="00A46CFB"/>
    <w:rsid w:val="00A5223C"/>
    <w:rsid w:val="00A53679"/>
    <w:rsid w:val="00A56C6C"/>
    <w:rsid w:val="00A65E9D"/>
    <w:rsid w:val="00A765A5"/>
    <w:rsid w:val="00A76C48"/>
    <w:rsid w:val="00A8184E"/>
    <w:rsid w:val="00A83D0F"/>
    <w:rsid w:val="00A83E90"/>
    <w:rsid w:val="00A903E6"/>
    <w:rsid w:val="00A904BC"/>
    <w:rsid w:val="00A942F4"/>
    <w:rsid w:val="00A97A80"/>
    <w:rsid w:val="00AA029A"/>
    <w:rsid w:val="00AA1916"/>
    <w:rsid w:val="00AA2421"/>
    <w:rsid w:val="00AA3775"/>
    <w:rsid w:val="00AA3FA4"/>
    <w:rsid w:val="00AA79AF"/>
    <w:rsid w:val="00AA7A50"/>
    <w:rsid w:val="00AB3E99"/>
    <w:rsid w:val="00AC352B"/>
    <w:rsid w:val="00AC3EB5"/>
    <w:rsid w:val="00AD2987"/>
    <w:rsid w:val="00AD5560"/>
    <w:rsid w:val="00AD6355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5294"/>
    <w:rsid w:val="00B70366"/>
    <w:rsid w:val="00B732B2"/>
    <w:rsid w:val="00B93352"/>
    <w:rsid w:val="00B94B2A"/>
    <w:rsid w:val="00B96519"/>
    <w:rsid w:val="00BA5CDA"/>
    <w:rsid w:val="00BC0648"/>
    <w:rsid w:val="00BC27CE"/>
    <w:rsid w:val="00BD0DAA"/>
    <w:rsid w:val="00BD20C6"/>
    <w:rsid w:val="00BD32B9"/>
    <w:rsid w:val="00BD6937"/>
    <w:rsid w:val="00BD6E3F"/>
    <w:rsid w:val="00BE0C2A"/>
    <w:rsid w:val="00BE2AF7"/>
    <w:rsid w:val="00BE2FC6"/>
    <w:rsid w:val="00BF10E8"/>
    <w:rsid w:val="00C008B7"/>
    <w:rsid w:val="00C01CAB"/>
    <w:rsid w:val="00C11024"/>
    <w:rsid w:val="00C14A12"/>
    <w:rsid w:val="00C16412"/>
    <w:rsid w:val="00C21FD7"/>
    <w:rsid w:val="00C25485"/>
    <w:rsid w:val="00C32FAA"/>
    <w:rsid w:val="00C521E2"/>
    <w:rsid w:val="00C53D1C"/>
    <w:rsid w:val="00C616CE"/>
    <w:rsid w:val="00C626A4"/>
    <w:rsid w:val="00C62AFB"/>
    <w:rsid w:val="00C6420F"/>
    <w:rsid w:val="00C6642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B4A29"/>
    <w:rsid w:val="00CB5B32"/>
    <w:rsid w:val="00CB6327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535DB"/>
    <w:rsid w:val="00D544DE"/>
    <w:rsid w:val="00D6342F"/>
    <w:rsid w:val="00D64250"/>
    <w:rsid w:val="00D64401"/>
    <w:rsid w:val="00D6450A"/>
    <w:rsid w:val="00D74B3B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D5A6C"/>
    <w:rsid w:val="00DE1985"/>
    <w:rsid w:val="00DE216B"/>
    <w:rsid w:val="00DE33C0"/>
    <w:rsid w:val="00DF093D"/>
    <w:rsid w:val="00DF1947"/>
    <w:rsid w:val="00DF3BBC"/>
    <w:rsid w:val="00DF4216"/>
    <w:rsid w:val="00DF4823"/>
    <w:rsid w:val="00DF5536"/>
    <w:rsid w:val="00E00ADF"/>
    <w:rsid w:val="00E073AC"/>
    <w:rsid w:val="00E102EE"/>
    <w:rsid w:val="00E10D66"/>
    <w:rsid w:val="00E21AD3"/>
    <w:rsid w:val="00E24D90"/>
    <w:rsid w:val="00E332D9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F99"/>
    <w:rsid w:val="00E77FA7"/>
    <w:rsid w:val="00E91792"/>
    <w:rsid w:val="00E97326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21DF"/>
    <w:rsid w:val="00EF31B4"/>
    <w:rsid w:val="00EF3BD0"/>
    <w:rsid w:val="00F03D02"/>
    <w:rsid w:val="00F05480"/>
    <w:rsid w:val="00F31A46"/>
    <w:rsid w:val="00F37A04"/>
    <w:rsid w:val="00F40968"/>
    <w:rsid w:val="00F410C0"/>
    <w:rsid w:val="00F42FD8"/>
    <w:rsid w:val="00F45D93"/>
    <w:rsid w:val="00F5193C"/>
    <w:rsid w:val="00F54CDA"/>
    <w:rsid w:val="00F619A6"/>
    <w:rsid w:val="00F63C48"/>
    <w:rsid w:val="00F654C5"/>
    <w:rsid w:val="00F66718"/>
    <w:rsid w:val="00F70A8D"/>
    <w:rsid w:val="00F741D8"/>
    <w:rsid w:val="00F8149A"/>
    <w:rsid w:val="00F86D0C"/>
    <w:rsid w:val="00F9396F"/>
    <w:rsid w:val="00F93B33"/>
    <w:rsid w:val="00FB2757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56CA-C06D-4B25-94B6-9010B921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2014-04-17T17:07:00Z</dcterms:created>
  <dcterms:modified xsi:type="dcterms:W3CDTF">2014-04-17T17:07:00Z</dcterms:modified>
</cp:coreProperties>
</file>